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1.xml" ContentType="application/vnd.openxmlformats-officedocument.drawingml.chartshapes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drawings/drawing2.xml" ContentType="application/vnd.openxmlformats-officedocument.drawingml.chartshapes+xml"/>
  <Override PartName="/word/charts/chart5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drawings/drawing3.xml" ContentType="application/vnd.openxmlformats-officedocument.drawingml.chartshapes+xml"/>
  <Override PartName="/word/charts/chart6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7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8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drawings/drawing4.xml" ContentType="application/vnd.openxmlformats-officedocument.drawingml.chartshapes+xml"/>
  <Override PartName="/word/charts/chart9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drawings/drawing5.xml" ContentType="application/vnd.openxmlformats-officedocument.drawingml.chartshapes+xml"/>
  <Override PartName="/word/charts/chart10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drawings/drawing6.xml" ContentType="application/vnd.openxmlformats-officedocument.drawingml.chartshapes+xml"/>
  <Override PartName="/word/charts/chart11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2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3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4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5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6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B0D" w:rsidRDefault="00442B0D" w:rsidP="00442B0D">
      <w:pPr>
        <w:suppressAutoHyphens w:val="0"/>
        <w:spacing w:after="160" w:line="256" w:lineRule="auto"/>
        <w:jc w:val="center"/>
        <w:rPr>
          <w:rFonts w:eastAsia="Calibri"/>
          <w:b/>
          <w:caps/>
          <w:color w:val="auto"/>
          <w:lang w:eastAsia="en-US" w:bidi="hu-HU"/>
        </w:rPr>
      </w:pPr>
      <w:bookmarkStart w:id="0" w:name="_GoBack"/>
      <w:bookmarkEnd w:id="0"/>
    </w:p>
    <w:p w:rsidR="00442B0D" w:rsidRDefault="00442B0D" w:rsidP="00442B0D">
      <w:pPr>
        <w:suppressAutoHyphens w:val="0"/>
        <w:spacing w:after="160" w:line="256" w:lineRule="auto"/>
        <w:jc w:val="center"/>
        <w:rPr>
          <w:rFonts w:eastAsia="Calibri"/>
          <w:b/>
          <w:caps/>
          <w:color w:val="auto"/>
          <w:lang w:eastAsia="en-US" w:bidi="hu-HU"/>
        </w:rPr>
      </w:pPr>
      <w:r>
        <w:rPr>
          <w:rFonts w:eastAsia="Calibri"/>
          <w:color w:val="auto"/>
          <w:sz w:val="22"/>
          <w:szCs w:val="22"/>
          <w:lang w:eastAsia="en-US"/>
        </w:rPr>
        <w:object w:dxaOrig="1005" w:dyaOrig="12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1pt;height:64.5pt;visibility:visible;mso-wrap-distance-left:7.05pt;mso-wrap-distance-top:7.05pt;mso-wrap-distance-right:7.05pt;mso-wrap-distance-bottom:7.05pt" o:ole="" o:preferrelative="f" filled="t">
            <v:fill color2="black" angle="180"/>
            <v:imagedata r:id="rId5" o:title="" gamma="1"/>
            <o:lock v:ext="edit" rotation="t" aspectratio="f" shapetype="t"/>
          </v:shape>
          <o:OLEObject Type="Embed" ProgID="Word.Document.8" ShapeID="_x0000_i1025" DrawAspect="Content" ObjectID="_1841471229" r:id="rId6"/>
        </w:object>
      </w:r>
    </w:p>
    <w:p w:rsidR="00442B0D" w:rsidRDefault="00442B0D" w:rsidP="00442B0D">
      <w:pPr>
        <w:suppressAutoHyphens w:val="0"/>
        <w:jc w:val="center"/>
        <w:rPr>
          <w:rFonts w:eastAsia="Calibri"/>
          <w:color w:val="auto"/>
          <w:lang w:eastAsia="en-US" w:bidi="hu-HU"/>
        </w:rPr>
      </w:pPr>
    </w:p>
    <w:p w:rsidR="00442B0D" w:rsidRDefault="00442B0D" w:rsidP="00442B0D">
      <w:pPr>
        <w:suppressAutoHyphens w:val="0"/>
        <w:jc w:val="center"/>
        <w:rPr>
          <w:rFonts w:eastAsia="Calibri"/>
          <w:color w:val="auto"/>
          <w:lang w:eastAsia="en-US" w:bidi="hu-HU"/>
        </w:rPr>
      </w:pPr>
    </w:p>
    <w:p w:rsidR="00442B0D" w:rsidRDefault="00442B0D" w:rsidP="00442B0D">
      <w:pPr>
        <w:suppressAutoHyphens w:val="0"/>
        <w:jc w:val="center"/>
        <w:rPr>
          <w:rFonts w:eastAsia="Calibri"/>
          <w:color w:val="auto"/>
          <w:lang w:eastAsia="en-US" w:bidi="hu-HU"/>
        </w:rPr>
      </w:pPr>
    </w:p>
    <w:p w:rsidR="00442B0D" w:rsidRDefault="00442B0D" w:rsidP="00442B0D">
      <w:pPr>
        <w:suppressAutoHyphens w:val="0"/>
        <w:jc w:val="center"/>
        <w:rPr>
          <w:rFonts w:eastAsia="Calibri"/>
          <w:color w:val="auto"/>
          <w:lang w:eastAsia="en-US" w:bidi="hu-HU"/>
        </w:rPr>
      </w:pPr>
    </w:p>
    <w:p w:rsidR="00442B0D" w:rsidRDefault="00442B0D" w:rsidP="00442B0D">
      <w:pPr>
        <w:suppressAutoHyphens w:val="0"/>
        <w:jc w:val="center"/>
        <w:rPr>
          <w:rFonts w:eastAsia="Calibri"/>
          <w:smallCaps/>
          <w:color w:val="auto"/>
          <w:sz w:val="36"/>
          <w:szCs w:val="32"/>
          <w:lang w:eastAsia="en-US" w:bidi="hu-HU"/>
        </w:rPr>
      </w:pPr>
      <w:r>
        <w:rPr>
          <w:rFonts w:eastAsia="Calibri"/>
          <w:smallCaps/>
          <w:color w:val="auto"/>
          <w:sz w:val="36"/>
          <w:szCs w:val="32"/>
          <w:lang w:eastAsia="en-US" w:bidi="hu-HU"/>
        </w:rPr>
        <w:t>Átfogó értékelés</w:t>
      </w:r>
    </w:p>
    <w:p w:rsidR="00442B0D" w:rsidRDefault="00442B0D" w:rsidP="00442B0D">
      <w:pPr>
        <w:suppressAutoHyphens w:val="0"/>
        <w:jc w:val="center"/>
        <w:rPr>
          <w:rFonts w:eastAsia="Calibri"/>
          <w:smallCaps/>
          <w:color w:val="auto"/>
          <w:sz w:val="36"/>
          <w:szCs w:val="32"/>
          <w:lang w:eastAsia="en-US"/>
        </w:rPr>
      </w:pPr>
      <w:r>
        <w:rPr>
          <w:rFonts w:eastAsia="Calibri"/>
          <w:smallCaps/>
          <w:color w:val="auto"/>
          <w:sz w:val="36"/>
          <w:szCs w:val="32"/>
          <w:lang w:eastAsia="en-US"/>
        </w:rPr>
        <w:t>Szigethalom Város Önkormányzat</w:t>
      </w:r>
    </w:p>
    <w:p w:rsidR="00442B0D" w:rsidRDefault="00442B0D" w:rsidP="00442B0D">
      <w:pPr>
        <w:suppressAutoHyphens w:val="0"/>
        <w:jc w:val="center"/>
        <w:rPr>
          <w:rFonts w:eastAsia="Calibri"/>
          <w:smallCaps/>
          <w:color w:val="auto"/>
          <w:sz w:val="36"/>
          <w:szCs w:val="32"/>
          <w:lang w:eastAsia="en-US"/>
        </w:rPr>
      </w:pPr>
      <w:proofErr w:type="gramStart"/>
      <w:r>
        <w:rPr>
          <w:rFonts w:eastAsia="Calibri"/>
          <w:smallCaps/>
          <w:color w:val="auto"/>
          <w:sz w:val="36"/>
          <w:szCs w:val="32"/>
          <w:lang w:eastAsia="en-US"/>
        </w:rPr>
        <w:t>gyermekjóléti</w:t>
      </w:r>
      <w:proofErr w:type="gramEnd"/>
      <w:r>
        <w:rPr>
          <w:rFonts w:eastAsia="Calibri"/>
          <w:smallCaps/>
          <w:color w:val="auto"/>
          <w:sz w:val="36"/>
          <w:szCs w:val="32"/>
          <w:lang w:eastAsia="en-US"/>
        </w:rPr>
        <w:t xml:space="preserve"> és gyermekvédelmi feladatainak ellátásáról</w:t>
      </w:r>
    </w:p>
    <w:p w:rsidR="00442B0D" w:rsidRDefault="00442B0D" w:rsidP="00442B0D">
      <w:pPr>
        <w:suppressAutoHyphens w:val="0"/>
        <w:jc w:val="center"/>
        <w:rPr>
          <w:rFonts w:eastAsia="Calibri"/>
          <w:smallCaps/>
          <w:color w:val="auto"/>
          <w:sz w:val="36"/>
          <w:szCs w:val="32"/>
          <w:lang w:eastAsia="en-US"/>
        </w:rPr>
      </w:pPr>
    </w:p>
    <w:p w:rsidR="00442B0D" w:rsidRDefault="00442B0D" w:rsidP="00442B0D">
      <w:pPr>
        <w:suppressAutoHyphens w:val="0"/>
        <w:jc w:val="center"/>
        <w:rPr>
          <w:rFonts w:eastAsia="Calibri"/>
          <w:smallCaps/>
          <w:color w:val="auto"/>
          <w:sz w:val="36"/>
          <w:szCs w:val="32"/>
          <w:lang w:eastAsia="en-US"/>
        </w:rPr>
      </w:pPr>
      <w:r>
        <w:rPr>
          <w:rFonts w:eastAsia="Calibri"/>
          <w:smallCaps/>
          <w:color w:val="auto"/>
          <w:sz w:val="36"/>
          <w:szCs w:val="32"/>
          <w:lang w:eastAsia="en-US"/>
        </w:rPr>
        <w:t xml:space="preserve">2025. </w:t>
      </w:r>
    </w:p>
    <w:p w:rsidR="00442B0D" w:rsidRDefault="00442B0D" w:rsidP="00442B0D">
      <w:pPr>
        <w:suppressAutoHyphens w:val="0"/>
        <w:spacing w:after="160" w:line="256" w:lineRule="auto"/>
        <w:jc w:val="center"/>
        <w:rPr>
          <w:rFonts w:eastAsia="Calibri"/>
          <w:color w:val="auto"/>
          <w:lang w:eastAsia="en-US"/>
        </w:rPr>
      </w:pPr>
    </w:p>
    <w:p w:rsidR="00442B0D" w:rsidRDefault="00442B0D" w:rsidP="00442B0D">
      <w:pPr>
        <w:suppressAutoHyphens w:val="0"/>
        <w:spacing w:after="160" w:line="256" w:lineRule="auto"/>
        <w:jc w:val="center"/>
        <w:rPr>
          <w:rFonts w:eastAsia="Calibri"/>
          <w:color w:val="auto"/>
          <w:lang w:eastAsia="en-US"/>
        </w:rPr>
      </w:pPr>
    </w:p>
    <w:p w:rsidR="00442B0D" w:rsidRDefault="00442B0D" w:rsidP="00442B0D">
      <w:pPr>
        <w:suppressAutoHyphens w:val="0"/>
        <w:spacing w:after="160" w:line="256" w:lineRule="auto"/>
        <w:jc w:val="center"/>
        <w:rPr>
          <w:rFonts w:eastAsia="Calibri"/>
          <w:color w:val="auto"/>
          <w:lang w:eastAsia="en-US"/>
        </w:rPr>
      </w:pPr>
    </w:p>
    <w:p w:rsidR="00442B0D" w:rsidRDefault="00442B0D" w:rsidP="00442B0D">
      <w:pPr>
        <w:suppressAutoHyphens w:val="0"/>
        <w:spacing w:after="160" w:line="256" w:lineRule="auto"/>
        <w:jc w:val="center"/>
        <w:rPr>
          <w:rFonts w:eastAsia="Calibri"/>
          <w:color w:val="auto"/>
          <w:lang w:eastAsia="en-US"/>
        </w:rPr>
      </w:pPr>
    </w:p>
    <w:p w:rsidR="00442B0D" w:rsidRDefault="00442B0D" w:rsidP="00442B0D">
      <w:pPr>
        <w:suppressAutoHyphens w:val="0"/>
        <w:spacing w:after="160" w:line="256" w:lineRule="auto"/>
        <w:jc w:val="center"/>
        <w:rPr>
          <w:rFonts w:eastAsia="Calibri"/>
          <w:color w:val="auto"/>
          <w:lang w:eastAsia="en-US"/>
        </w:rPr>
      </w:pPr>
    </w:p>
    <w:p w:rsidR="00442B0D" w:rsidRDefault="00442B0D" w:rsidP="00442B0D">
      <w:pPr>
        <w:suppressAutoHyphens w:val="0"/>
        <w:spacing w:after="160" w:line="256" w:lineRule="auto"/>
        <w:jc w:val="center"/>
        <w:rPr>
          <w:rFonts w:eastAsia="Calibri"/>
          <w:color w:val="auto"/>
          <w:lang w:eastAsia="en-US"/>
        </w:rPr>
      </w:pPr>
    </w:p>
    <w:p w:rsidR="00442B0D" w:rsidRDefault="00442B0D" w:rsidP="00442B0D">
      <w:pPr>
        <w:suppressAutoHyphens w:val="0"/>
        <w:spacing w:after="160" w:line="256" w:lineRule="auto"/>
        <w:jc w:val="center"/>
        <w:rPr>
          <w:rFonts w:eastAsia="Calibri"/>
          <w:color w:val="auto"/>
          <w:lang w:eastAsia="en-US"/>
        </w:rPr>
      </w:pPr>
    </w:p>
    <w:p w:rsidR="00442B0D" w:rsidRDefault="00442B0D" w:rsidP="00442B0D">
      <w:pPr>
        <w:suppressAutoHyphens w:val="0"/>
        <w:spacing w:after="160" w:line="256" w:lineRule="auto"/>
        <w:jc w:val="center"/>
        <w:rPr>
          <w:rFonts w:eastAsia="Calibri"/>
          <w:color w:val="auto"/>
          <w:lang w:eastAsia="en-US"/>
        </w:rPr>
      </w:pPr>
    </w:p>
    <w:p w:rsidR="00442B0D" w:rsidRDefault="00442B0D" w:rsidP="00442B0D">
      <w:pPr>
        <w:suppressAutoHyphens w:val="0"/>
        <w:spacing w:after="120"/>
        <w:contextualSpacing/>
        <w:jc w:val="right"/>
        <w:rPr>
          <w:rFonts w:eastAsia="Calibri"/>
          <w:color w:val="auto"/>
          <w:lang w:eastAsia="en-US"/>
        </w:rPr>
      </w:pPr>
      <w:r>
        <w:rPr>
          <w:noProof/>
          <w:lang w:eastAsia="hu-H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2498090</wp:posOffset>
                </wp:positionH>
                <wp:positionV relativeFrom="paragraph">
                  <wp:posOffset>99695</wp:posOffset>
                </wp:positionV>
                <wp:extent cx="3225800" cy="1466215"/>
                <wp:effectExtent l="0" t="0" r="0" b="635"/>
                <wp:wrapSquare wrapText="bothSides"/>
                <wp:docPr id="217" name="Szövegdoboz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5800" cy="1466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2B0D" w:rsidRDefault="00442B0D" w:rsidP="00442B0D">
                            <w:r>
                              <w:t>Jóváhagyta:</w:t>
                            </w:r>
                          </w:p>
                          <w:p w:rsidR="00442B0D" w:rsidRDefault="00442B0D" w:rsidP="00442B0D"/>
                          <w:p w:rsidR="00442B0D" w:rsidRDefault="00442B0D" w:rsidP="00442B0D">
                            <w:pPr>
                              <w:spacing w:after="120"/>
                              <w:contextualSpacing/>
                            </w:pPr>
                            <w:r>
                              <w:t>____________________</w:t>
                            </w:r>
                          </w:p>
                          <w:p w:rsidR="00442B0D" w:rsidRDefault="00442B0D" w:rsidP="00442B0D">
                            <w:pPr>
                              <w:spacing w:after="120"/>
                              <w:contextualSpacing/>
                            </w:pPr>
                            <w:r>
                              <w:t xml:space="preserve">Fáki László polgármester </w:t>
                            </w:r>
                          </w:p>
                          <w:p w:rsidR="00442B0D" w:rsidRDefault="00442B0D" w:rsidP="00442B0D">
                            <w:pPr>
                              <w:spacing w:after="120"/>
                              <w:contextualSpacing/>
                            </w:pP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…/2026. (V. 19.) számú Kt. határozat alapján.</w:t>
                            </w:r>
                          </w:p>
                          <w:p w:rsidR="00442B0D" w:rsidRDefault="00442B0D" w:rsidP="00442B0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17" o:spid="_x0000_s1026" type="#_x0000_t202" style="position:absolute;left:0;text-align:left;margin-left:196.7pt;margin-top:7.85pt;width:254pt;height:115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" stroked="f">
                <v:textbox>
                  <w:txbxContent>
                    <w:p w:rsidR="00442B0D" w:rsidRDefault="00442B0D" w:rsidP="00442B0D">
                      <w:r>
                        <w:t>Jóváhagyta:</w:t>
                      </w:r>
                    </w:p>
                    <w:p w:rsidR="00442B0D" w:rsidRDefault="00442B0D" w:rsidP="00442B0D"/>
                    <w:p w:rsidR="00442B0D" w:rsidRDefault="00442B0D" w:rsidP="00442B0D">
                      <w:pPr>
                        <w:spacing w:after="120"/>
                        <w:contextualSpacing/>
                      </w:pPr>
                      <w:r>
                        <w:t>____________________</w:t>
                      </w:r>
                    </w:p>
                    <w:p w:rsidR="00442B0D" w:rsidRDefault="00442B0D" w:rsidP="00442B0D">
                      <w:pPr>
                        <w:spacing w:after="120"/>
                        <w:contextualSpacing/>
                      </w:pPr>
                      <w:r>
                        <w:t xml:space="preserve">Fáki László polgármester </w:t>
                      </w:r>
                    </w:p>
                    <w:p w:rsidR="00442B0D" w:rsidRDefault="00442B0D" w:rsidP="00442B0D">
                      <w:pPr>
                        <w:spacing w:after="120"/>
                        <w:contextualSpacing/>
                      </w:pP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…/2026. (V. 19.) számú Kt. határozat alapján.</w:t>
                      </w:r>
                    </w:p>
                    <w:p w:rsidR="00442B0D" w:rsidRDefault="00442B0D" w:rsidP="00442B0D"/>
                  </w:txbxContent>
                </v:textbox>
                <w10:wrap type="square"/>
              </v:shape>
            </w:pict>
          </mc:Fallback>
        </mc:AlternateContent>
      </w:r>
    </w:p>
    <w:p w:rsidR="00442B0D" w:rsidRDefault="00442B0D" w:rsidP="00442B0D">
      <w:pPr>
        <w:suppressAutoHyphens w:val="0"/>
        <w:spacing w:after="120"/>
        <w:contextualSpacing/>
        <w:jc w:val="right"/>
        <w:rPr>
          <w:rFonts w:eastAsia="Calibri"/>
          <w:color w:val="auto"/>
          <w:lang w:eastAsia="en-US"/>
        </w:rPr>
      </w:pPr>
    </w:p>
    <w:p w:rsidR="00442B0D" w:rsidRDefault="00442B0D" w:rsidP="00442B0D">
      <w:pPr>
        <w:suppressAutoHyphens w:val="0"/>
        <w:spacing w:after="120"/>
        <w:contextualSpacing/>
        <w:jc w:val="right"/>
        <w:rPr>
          <w:rFonts w:eastAsia="Calibri"/>
          <w:color w:val="auto"/>
          <w:lang w:eastAsia="en-US"/>
        </w:rPr>
      </w:pPr>
    </w:p>
    <w:p w:rsidR="00442B0D" w:rsidRDefault="00442B0D" w:rsidP="00442B0D">
      <w:pPr>
        <w:suppressAutoHyphens w:val="0"/>
        <w:spacing w:after="120"/>
        <w:contextualSpacing/>
        <w:jc w:val="right"/>
        <w:rPr>
          <w:rFonts w:eastAsia="Calibri"/>
          <w:color w:val="auto"/>
          <w:lang w:eastAsia="en-US"/>
        </w:rPr>
      </w:pPr>
    </w:p>
    <w:p w:rsidR="00442B0D" w:rsidRDefault="00442B0D" w:rsidP="00442B0D">
      <w:pPr>
        <w:suppressAutoHyphens w:val="0"/>
        <w:spacing w:after="120"/>
        <w:contextualSpacing/>
        <w:jc w:val="right"/>
        <w:rPr>
          <w:rFonts w:eastAsia="Calibri"/>
          <w:color w:val="auto"/>
          <w:lang w:eastAsia="en-US"/>
        </w:rPr>
      </w:pPr>
    </w:p>
    <w:p w:rsidR="00442B0D" w:rsidRDefault="00442B0D" w:rsidP="00442B0D">
      <w:pPr>
        <w:suppressAutoHyphens w:val="0"/>
        <w:spacing w:after="120"/>
        <w:contextualSpacing/>
        <w:jc w:val="right"/>
        <w:rPr>
          <w:rFonts w:eastAsia="Calibri"/>
          <w:color w:val="auto"/>
          <w:lang w:eastAsia="en-US"/>
        </w:rPr>
      </w:pPr>
    </w:p>
    <w:p w:rsidR="00442B0D" w:rsidRDefault="00442B0D" w:rsidP="00442B0D">
      <w:pPr>
        <w:suppressAutoHyphens w:val="0"/>
        <w:spacing w:after="120"/>
        <w:contextualSpacing/>
        <w:jc w:val="right"/>
        <w:rPr>
          <w:rFonts w:eastAsia="Calibri"/>
          <w:color w:val="auto"/>
          <w:lang w:eastAsia="en-US"/>
        </w:rPr>
      </w:pPr>
    </w:p>
    <w:p w:rsidR="00442B0D" w:rsidRDefault="00442B0D" w:rsidP="00442B0D">
      <w:pPr>
        <w:suppressAutoHyphens w:val="0"/>
        <w:spacing w:after="160" w:line="256" w:lineRule="auto"/>
        <w:rPr>
          <w:rFonts w:eastAsia="Calibri"/>
          <w:color w:val="auto"/>
          <w:lang w:eastAsia="en-US"/>
        </w:rPr>
      </w:pPr>
    </w:p>
    <w:p w:rsidR="00442B0D" w:rsidRDefault="00442B0D" w:rsidP="00442B0D">
      <w:pPr>
        <w:suppressAutoHyphens w:val="0"/>
        <w:spacing w:after="160" w:line="256" w:lineRule="auto"/>
        <w:jc w:val="center"/>
        <w:rPr>
          <w:rFonts w:eastAsia="Calibri"/>
          <w:color w:val="auto"/>
          <w:lang w:eastAsia="en-US"/>
        </w:rPr>
      </w:pPr>
    </w:p>
    <w:p w:rsidR="00442B0D" w:rsidRDefault="00442B0D" w:rsidP="00442B0D">
      <w:pPr>
        <w:suppressAutoHyphens w:val="0"/>
        <w:spacing w:after="160" w:line="256" w:lineRule="auto"/>
        <w:jc w:val="center"/>
        <w:rPr>
          <w:rFonts w:eastAsia="Calibri"/>
          <w:color w:val="auto"/>
          <w:lang w:eastAsia="en-US"/>
        </w:rPr>
      </w:pPr>
    </w:p>
    <w:sdt>
      <w:sdtPr>
        <w:rPr>
          <w:sz w:val="22"/>
          <w:szCs w:val="22"/>
        </w:rPr>
        <w:id w:val="935486286"/>
        <w:docPartObj>
          <w:docPartGallery w:val="Table of Contents"/>
          <w:docPartUnique/>
        </w:docPartObj>
      </w:sdtPr>
      <w:sdtContent>
        <w:p w:rsidR="00442B0D" w:rsidRDefault="00442B0D" w:rsidP="00442B0D"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>Tartalom</w:t>
          </w:r>
        </w:p>
        <w:p w:rsidR="00442B0D" w:rsidRDefault="00442B0D" w:rsidP="00442B0D">
          <w:pPr>
            <w:rPr>
              <w:sz w:val="22"/>
              <w:szCs w:val="22"/>
            </w:rPr>
          </w:pPr>
        </w:p>
        <w:p w:rsidR="00442B0D" w:rsidRDefault="00442B0D" w:rsidP="00442B0D">
          <w:pPr>
            <w:pStyle w:val="TJ1"/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r>
            <w:rPr>
              <w:rFonts w:ascii="Times New Roman" w:hAnsi="Times New Roman"/>
            </w:rPr>
            <w:fldChar w:fldCharType="begin"/>
          </w:r>
          <w:r>
            <w:rPr>
              <w:rFonts w:ascii="Times New Roman" w:hAnsi="Times New Roman"/>
            </w:rPr>
            <w:instrText xml:space="preserve"> TOC \o "1-3" \h \z \u </w:instrText>
          </w:r>
          <w:r>
            <w:rPr>
              <w:rFonts w:ascii="Times New Roman" w:hAnsi="Times New Roman"/>
            </w:rPr>
            <w:fldChar w:fldCharType="separate"/>
          </w:r>
          <w:hyperlink r:id="rId7" w:anchor="_Toc228355778" w:history="1">
            <w:r>
              <w:rPr>
                <w:rStyle w:val="Hiperhivatkozs"/>
                <w:noProof/>
              </w:rPr>
              <w:t>1.</w:t>
            </w:r>
            <w:r>
              <w:rPr>
                <w:rStyle w:val="Hiperhivatkozs"/>
                <w:rFonts w:eastAsiaTheme="minorEastAsia"/>
                <w:noProof/>
                <w:color w:val="auto"/>
                <w:kern w:val="2"/>
                <w:lang w:eastAsia="hu-HU"/>
                <w14:ligatures w14:val="standardContextual"/>
              </w:rPr>
              <w:tab/>
            </w:r>
            <w:r>
              <w:rPr>
                <w:rStyle w:val="Hiperhivatkozs"/>
                <w:noProof/>
              </w:rPr>
              <w:t>Előszó</w:t>
            </w:r>
            <w:r>
              <w:rPr>
                <w:rStyle w:val="Hiperhivatkozs"/>
                <w:noProof/>
                <w:webHidden/>
                <w:color w:val="auto"/>
              </w:rPr>
              <w:tab/>
            </w:r>
            <w:r>
              <w:rPr>
                <w:rStyle w:val="Hiperhivatkozs"/>
                <w:noProof/>
                <w:webHidden/>
                <w:color w:val="auto"/>
              </w:rPr>
              <w:fldChar w:fldCharType="begin"/>
            </w:r>
            <w:r>
              <w:rPr>
                <w:rStyle w:val="Hiperhivatkozs"/>
                <w:noProof/>
                <w:webHidden/>
                <w:color w:val="auto"/>
              </w:rPr>
              <w:instrText xml:space="preserve"> PAGEREF _Toc228355778 \h </w:instrText>
            </w:r>
            <w:r>
              <w:rPr>
                <w:rStyle w:val="Hiperhivatkozs"/>
                <w:noProof/>
                <w:webHidden/>
                <w:color w:val="auto"/>
              </w:rPr>
            </w:r>
            <w:r>
              <w:rPr>
                <w:rStyle w:val="Hiperhivatkozs"/>
                <w:noProof/>
                <w:webHidden/>
                <w:color w:val="auto"/>
              </w:rPr>
              <w:fldChar w:fldCharType="separate"/>
            </w:r>
            <w:r>
              <w:rPr>
                <w:rStyle w:val="Hiperhivatkozs"/>
                <w:noProof/>
                <w:webHidden/>
                <w:color w:val="auto"/>
              </w:rPr>
              <w:t>4</w:t>
            </w:r>
            <w:r>
              <w:rPr>
                <w:rStyle w:val="Hiperhivatkozs"/>
                <w:noProof/>
                <w:webHidden/>
                <w:color w:val="auto"/>
              </w:rPr>
              <w:fldChar w:fldCharType="end"/>
            </w:r>
          </w:hyperlink>
        </w:p>
        <w:p w:rsidR="00442B0D" w:rsidRDefault="00442B0D" w:rsidP="00442B0D">
          <w:pPr>
            <w:pStyle w:val="TJ1"/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r:id="rId8" w:anchor="_Toc228355779" w:history="1">
            <w:r>
              <w:rPr>
                <w:rStyle w:val="Hiperhivatkozs"/>
                <w:noProof/>
              </w:rPr>
              <w:t>2.</w:t>
            </w:r>
            <w:r>
              <w:rPr>
                <w:rStyle w:val="Hiperhivatkozs"/>
                <w:rFonts w:eastAsiaTheme="minorEastAsia"/>
                <w:noProof/>
                <w:color w:val="auto"/>
                <w:kern w:val="2"/>
                <w:lang w:eastAsia="hu-HU"/>
                <w14:ligatures w14:val="standardContextual"/>
              </w:rPr>
              <w:tab/>
            </w:r>
            <w:r>
              <w:rPr>
                <w:rStyle w:val="Hiperhivatkozs"/>
                <w:noProof/>
              </w:rPr>
              <w:t>A település demográfiai mutatói, különös tekintettel a 0-18 éves korosztály adataira</w:t>
            </w:r>
            <w:r>
              <w:rPr>
                <w:rStyle w:val="Hiperhivatkozs"/>
                <w:noProof/>
                <w:webHidden/>
                <w:color w:val="auto"/>
              </w:rPr>
              <w:tab/>
            </w:r>
            <w:r>
              <w:rPr>
                <w:rStyle w:val="Hiperhivatkozs"/>
                <w:noProof/>
                <w:webHidden/>
                <w:color w:val="auto"/>
              </w:rPr>
              <w:fldChar w:fldCharType="begin"/>
            </w:r>
            <w:r>
              <w:rPr>
                <w:rStyle w:val="Hiperhivatkozs"/>
                <w:noProof/>
                <w:webHidden/>
                <w:color w:val="auto"/>
              </w:rPr>
              <w:instrText xml:space="preserve"> PAGEREF _Toc228355779 \h </w:instrText>
            </w:r>
            <w:r>
              <w:rPr>
                <w:rStyle w:val="Hiperhivatkozs"/>
                <w:noProof/>
                <w:webHidden/>
                <w:color w:val="auto"/>
              </w:rPr>
            </w:r>
            <w:r>
              <w:rPr>
                <w:rStyle w:val="Hiperhivatkozs"/>
                <w:noProof/>
                <w:webHidden/>
                <w:color w:val="auto"/>
              </w:rPr>
              <w:fldChar w:fldCharType="separate"/>
            </w:r>
            <w:r>
              <w:rPr>
                <w:rStyle w:val="Hiperhivatkozs"/>
                <w:noProof/>
                <w:webHidden/>
                <w:color w:val="auto"/>
              </w:rPr>
              <w:t>4</w:t>
            </w:r>
            <w:r>
              <w:rPr>
                <w:rStyle w:val="Hiperhivatkozs"/>
                <w:noProof/>
                <w:webHidden/>
                <w:color w:val="auto"/>
              </w:rPr>
              <w:fldChar w:fldCharType="end"/>
            </w:r>
          </w:hyperlink>
        </w:p>
        <w:p w:rsidR="00442B0D" w:rsidRDefault="00442B0D" w:rsidP="00442B0D">
          <w:pPr>
            <w:pStyle w:val="TJ1"/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r:id="rId9" w:anchor="_Toc228355780" w:history="1">
            <w:r>
              <w:rPr>
                <w:rStyle w:val="Hiperhivatkozs"/>
                <w:noProof/>
              </w:rPr>
              <w:t>3.</w:t>
            </w:r>
            <w:r>
              <w:rPr>
                <w:rStyle w:val="Hiperhivatkozs"/>
                <w:rFonts w:eastAsiaTheme="minorEastAsia"/>
                <w:noProof/>
                <w:color w:val="auto"/>
                <w:kern w:val="2"/>
                <w:lang w:eastAsia="hu-HU"/>
                <w14:ligatures w14:val="standardContextual"/>
              </w:rPr>
              <w:tab/>
            </w:r>
            <w:r>
              <w:rPr>
                <w:rStyle w:val="Hiperhivatkozs"/>
                <w:noProof/>
              </w:rPr>
              <w:t>Az önkormányzat által nyújtott pénzbeli, természetbeni ellátások biztosítása</w:t>
            </w:r>
            <w:r>
              <w:rPr>
                <w:rStyle w:val="Hiperhivatkozs"/>
                <w:noProof/>
                <w:webHidden/>
                <w:color w:val="auto"/>
              </w:rPr>
              <w:tab/>
            </w:r>
            <w:r>
              <w:rPr>
                <w:rStyle w:val="Hiperhivatkozs"/>
                <w:noProof/>
                <w:webHidden/>
                <w:color w:val="auto"/>
              </w:rPr>
              <w:fldChar w:fldCharType="begin"/>
            </w:r>
            <w:r>
              <w:rPr>
                <w:rStyle w:val="Hiperhivatkozs"/>
                <w:noProof/>
                <w:webHidden/>
                <w:color w:val="auto"/>
              </w:rPr>
              <w:instrText xml:space="preserve"> PAGEREF _Toc228355780 \h </w:instrText>
            </w:r>
            <w:r>
              <w:rPr>
                <w:rStyle w:val="Hiperhivatkozs"/>
                <w:noProof/>
                <w:webHidden/>
                <w:color w:val="auto"/>
              </w:rPr>
            </w:r>
            <w:r>
              <w:rPr>
                <w:rStyle w:val="Hiperhivatkozs"/>
                <w:noProof/>
                <w:webHidden/>
                <w:color w:val="auto"/>
              </w:rPr>
              <w:fldChar w:fldCharType="separate"/>
            </w:r>
            <w:r>
              <w:rPr>
                <w:rStyle w:val="Hiperhivatkozs"/>
                <w:noProof/>
                <w:webHidden/>
                <w:color w:val="auto"/>
              </w:rPr>
              <w:t>4</w:t>
            </w:r>
            <w:r>
              <w:rPr>
                <w:rStyle w:val="Hiperhivatkozs"/>
                <w:noProof/>
                <w:webHidden/>
                <w:color w:val="auto"/>
              </w:rPr>
              <w:fldChar w:fldCharType="end"/>
            </w:r>
          </w:hyperlink>
        </w:p>
        <w:p w:rsidR="00442B0D" w:rsidRDefault="00442B0D" w:rsidP="00442B0D">
          <w:pPr>
            <w:pStyle w:val="TJ2"/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r:id="rId10" w:anchor="_Toc228355781" w:history="1">
            <w:r>
              <w:rPr>
                <w:rStyle w:val="Hiperhivatkozs"/>
                <w:noProof/>
              </w:rPr>
              <w:t>3.1.</w:t>
            </w:r>
            <w:r>
              <w:rPr>
                <w:rStyle w:val="Hiperhivatkozs"/>
                <w:rFonts w:eastAsiaTheme="minorEastAsia"/>
                <w:noProof/>
                <w:color w:val="auto"/>
                <w:kern w:val="2"/>
                <w:lang w:eastAsia="hu-HU"/>
                <w14:ligatures w14:val="standardContextual"/>
              </w:rPr>
              <w:tab/>
            </w:r>
            <w:r>
              <w:rPr>
                <w:rStyle w:val="Hiperhivatkozs"/>
                <w:noProof/>
              </w:rPr>
              <w:t>A rendszeres gyermekvédelmi kedvezményben részesülők száma, kérelmezőkre vonatkozó általánosítható adatok, elutasítások száma, főbb okai, önkormányzatot terhelő kiadás nagysága</w:t>
            </w:r>
            <w:r>
              <w:rPr>
                <w:rStyle w:val="Hiperhivatkozs"/>
                <w:noProof/>
                <w:webHidden/>
                <w:color w:val="auto"/>
              </w:rPr>
              <w:tab/>
            </w:r>
            <w:r>
              <w:rPr>
                <w:rStyle w:val="Hiperhivatkozs"/>
                <w:noProof/>
                <w:webHidden/>
                <w:color w:val="auto"/>
              </w:rPr>
              <w:fldChar w:fldCharType="begin"/>
            </w:r>
            <w:r>
              <w:rPr>
                <w:rStyle w:val="Hiperhivatkozs"/>
                <w:noProof/>
                <w:webHidden/>
                <w:color w:val="auto"/>
              </w:rPr>
              <w:instrText xml:space="preserve"> PAGEREF _Toc228355781 \h </w:instrText>
            </w:r>
            <w:r>
              <w:rPr>
                <w:rStyle w:val="Hiperhivatkozs"/>
                <w:noProof/>
                <w:webHidden/>
                <w:color w:val="auto"/>
              </w:rPr>
            </w:r>
            <w:r>
              <w:rPr>
                <w:rStyle w:val="Hiperhivatkozs"/>
                <w:noProof/>
                <w:webHidden/>
                <w:color w:val="auto"/>
              </w:rPr>
              <w:fldChar w:fldCharType="separate"/>
            </w:r>
            <w:r>
              <w:rPr>
                <w:rStyle w:val="Hiperhivatkozs"/>
                <w:noProof/>
                <w:webHidden/>
                <w:color w:val="auto"/>
              </w:rPr>
              <w:t>4</w:t>
            </w:r>
            <w:r>
              <w:rPr>
                <w:rStyle w:val="Hiperhivatkozs"/>
                <w:noProof/>
                <w:webHidden/>
                <w:color w:val="auto"/>
              </w:rPr>
              <w:fldChar w:fldCharType="end"/>
            </w:r>
          </w:hyperlink>
        </w:p>
        <w:p w:rsidR="00442B0D" w:rsidRDefault="00442B0D" w:rsidP="00442B0D">
          <w:pPr>
            <w:pStyle w:val="TJ2"/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r:id="rId11" w:anchor="_Toc228355782" w:history="1">
            <w:r>
              <w:rPr>
                <w:rStyle w:val="Hiperhivatkozs"/>
                <w:noProof/>
              </w:rPr>
              <w:t>3.2.</w:t>
            </w:r>
            <w:r>
              <w:rPr>
                <w:rStyle w:val="Hiperhivatkozs"/>
                <w:rFonts w:eastAsiaTheme="minorEastAsia"/>
                <w:noProof/>
                <w:color w:val="auto"/>
                <w:kern w:val="2"/>
                <w:lang w:eastAsia="hu-HU"/>
                <w14:ligatures w14:val="standardContextual"/>
              </w:rPr>
              <w:tab/>
            </w:r>
            <w:r>
              <w:rPr>
                <w:rStyle w:val="Hiperhivatkozs"/>
                <w:noProof/>
              </w:rPr>
              <w:t>Egyéb, a Gyvt.-ben nem szabályozott pénzbeli vagy természetbeni juttatásokra vonatkozó adatok</w:t>
            </w:r>
            <w:r>
              <w:rPr>
                <w:rStyle w:val="Hiperhivatkozs"/>
                <w:noProof/>
                <w:webHidden/>
                <w:color w:val="auto"/>
              </w:rPr>
              <w:tab/>
            </w:r>
            <w:r>
              <w:rPr>
                <w:rStyle w:val="Hiperhivatkozs"/>
                <w:noProof/>
                <w:webHidden/>
                <w:color w:val="auto"/>
              </w:rPr>
              <w:fldChar w:fldCharType="begin"/>
            </w:r>
            <w:r>
              <w:rPr>
                <w:rStyle w:val="Hiperhivatkozs"/>
                <w:noProof/>
                <w:webHidden/>
                <w:color w:val="auto"/>
              </w:rPr>
              <w:instrText xml:space="preserve"> PAGEREF _Toc228355782 \h </w:instrText>
            </w:r>
            <w:r>
              <w:rPr>
                <w:rStyle w:val="Hiperhivatkozs"/>
                <w:noProof/>
                <w:webHidden/>
                <w:color w:val="auto"/>
              </w:rPr>
            </w:r>
            <w:r>
              <w:rPr>
                <w:rStyle w:val="Hiperhivatkozs"/>
                <w:noProof/>
                <w:webHidden/>
                <w:color w:val="auto"/>
              </w:rPr>
              <w:fldChar w:fldCharType="separate"/>
            </w:r>
            <w:r>
              <w:rPr>
                <w:rStyle w:val="Hiperhivatkozs"/>
                <w:noProof/>
                <w:webHidden/>
                <w:color w:val="auto"/>
              </w:rPr>
              <w:t>4</w:t>
            </w:r>
            <w:r>
              <w:rPr>
                <w:rStyle w:val="Hiperhivatkozs"/>
                <w:noProof/>
                <w:webHidden/>
                <w:color w:val="auto"/>
              </w:rPr>
              <w:fldChar w:fldCharType="end"/>
            </w:r>
          </w:hyperlink>
        </w:p>
        <w:p w:rsidR="00442B0D" w:rsidRDefault="00442B0D" w:rsidP="00442B0D">
          <w:pPr>
            <w:pStyle w:val="TJ2"/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r:id="rId12" w:anchor="_Toc228355783" w:history="1">
            <w:r>
              <w:rPr>
                <w:rStyle w:val="Hiperhivatkozs"/>
                <w:noProof/>
              </w:rPr>
              <w:t>3.3.</w:t>
            </w:r>
            <w:r>
              <w:rPr>
                <w:rStyle w:val="Hiperhivatkozs"/>
                <w:rFonts w:eastAsiaTheme="minorEastAsia"/>
                <w:noProof/>
                <w:color w:val="auto"/>
                <w:kern w:val="2"/>
                <w:lang w:eastAsia="hu-HU"/>
                <w14:ligatures w14:val="standardContextual"/>
              </w:rPr>
              <w:tab/>
            </w:r>
            <w:r>
              <w:rPr>
                <w:rStyle w:val="Hiperhivatkozs"/>
                <w:noProof/>
              </w:rPr>
              <w:t>Gyermekétkeztetés megoldásának módjai, kedvezményben részesülőkre vonatkozó statisztikai adatok</w:t>
            </w:r>
            <w:r>
              <w:rPr>
                <w:rStyle w:val="Hiperhivatkozs"/>
                <w:noProof/>
                <w:webHidden/>
                <w:color w:val="auto"/>
              </w:rPr>
              <w:tab/>
            </w:r>
            <w:r>
              <w:rPr>
                <w:rStyle w:val="Hiperhivatkozs"/>
                <w:noProof/>
                <w:webHidden/>
                <w:color w:val="auto"/>
              </w:rPr>
              <w:fldChar w:fldCharType="begin"/>
            </w:r>
            <w:r>
              <w:rPr>
                <w:rStyle w:val="Hiperhivatkozs"/>
                <w:noProof/>
                <w:webHidden/>
                <w:color w:val="auto"/>
              </w:rPr>
              <w:instrText xml:space="preserve"> PAGEREF _Toc228355783 \h </w:instrText>
            </w:r>
            <w:r>
              <w:rPr>
                <w:rStyle w:val="Hiperhivatkozs"/>
                <w:noProof/>
                <w:webHidden/>
                <w:color w:val="auto"/>
              </w:rPr>
            </w:r>
            <w:r>
              <w:rPr>
                <w:rStyle w:val="Hiperhivatkozs"/>
                <w:noProof/>
                <w:webHidden/>
                <w:color w:val="auto"/>
              </w:rPr>
              <w:fldChar w:fldCharType="separate"/>
            </w:r>
            <w:r>
              <w:rPr>
                <w:rStyle w:val="Hiperhivatkozs"/>
                <w:noProof/>
                <w:webHidden/>
                <w:color w:val="auto"/>
              </w:rPr>
              <w:t>4</w:t>
            </w:r>
            <w:r>
              <w:rPr>
                <w:rStyle w:val="Hiperhivatkozs"/>
                <w:noProof/>
                <w:webHidden/>
                <w:color w:val="auto"/>
              </w:rPr>
              <w:fldChar w:fldCharType="end"/>
            </w:r>
          </w:hyperlink>
        </w:p>
        <w:p w:rsidR="00442B0D" w:rsidRDefault="00442B0D" w:rsidP="00442B0D">
          <w:pPr>
            <w:pStyle w:val="TJ3"/>
            <w:tabs>
              <w:tab w:val="left" w:pos="1200"/>
              <w:tab w:val="right" w:leader="dot" w:pos="9062"/>
            </w:tabs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r:id="rId13" w:anchor="_Toc228355784" w:history="1">
            <w:r>
              <w:rPr>
                <w:rStyle w:val="Hiperhivatkozs"/>
                <w:noProof/>
              </w:rPr>
              <w:t>3.3.1.</w:t>
            </w:r>
            <w:r>
              <w:rPr>
                <w:rStyle w:val="Hiperhivatkozs"/>
                <w:rFonts w:eastAsiaTheme="minorEastAsia"/>
                <w:noProof/>
                <w:color w:val="auto"/>
                <w:kern w:val="2"/>
                <w:lang w:eastAsia="hu-HU"/>
                <w14:ligatures w14:val="standardContextual"/>
              </w:rPr>
              <w:tab/>
            </w:r>
            <w:r>
              <w:rPr>
                <w:rStyle w:val="Hiperhivatkozs"/>
                <w:noProof/>
              </w:rPr>
              <w:t>Bölcsődei étkeztetés</w:t>
            </w:r>
            <w:r>
              <w:rPr>
                <w:rStyle w:val="Hiperhivatkozs"/>
                <w:noProof/>
                <w:webHidden/>
                <w:color w:val="auto"/>
              </w:rPr>
              <w:tab/>
            </w:r>
            <w:r>
              <w:rPr>
                <w:rStyle w:val="Hiperhivatkozs"/>
                <w:noProof/>
                <w:webHidden/>
                <w:color w:val="auto"/>
              </w:rPr>
              <w:fldChar w:fldCharType="begin"/>
            </w:r>
            <w:r>
              <w:rPr>
                <w:rStyle w:val="Hiperhivatkozs"/>
                <w:noProof/>
                <w:webHidden/>
                <w:color w:val="auto"/>
              </w:rPr>
              <w:instrText xml:space="preserve"> PAGEREF _Toc228355784 \h </w:instrText>
            </w:r>
            <w:r>
              <w:rPr>
                <w:rStyle w:val="Hiperhivatkozs"/>
                <w:noProof/>
                <w:webHidden/>
                <w:color w:val="auto"/>
              </w:rPr>
            </w:r>
            <w:r>
              <w:rPr>
                <w:rStyle w:val="Hiperhivatkozs"/>
                <w:noProof/>
                <w:webHidden/>
                <w:color w:val="auto"/>
              </w:rPr>
              <w:fldChar w:fldCharType="separate"/>
            </w:r>
            <w:r>
              <w:rPr>
                <w:rStyle w:val="Hiperhivatkozs"/>
                <w:noProof/>
                <w:webHidden/>
                <w:color w:val="auto"/>
              </w:rPr>
              <w:t>4</w:t>
            </w:r>
            <w:r>
              <w:rPr>
                <w:rStyle w:val="Hiperhivatkozs"/>
                <w:noProof/>
                <w:webHidden/>
                <w:color w:val="auto"/>
              </w:rPr>
              <w:fldChar w:fldCharType="end"/>
            </w:r>
          </w:hyperlink>
        </w:p>
        <w:p w:rsidR="00442B0D" w:rsidRDefault="00442B0D" w:rsidP="00442B0D">
          <w:pPr>
            <w:pStyle w:val="TJ3"/>
            <w:tabs>
              <w:tab w:val="left" w:pos="1200"/>
              <w:tab w:val="right" w:leader="dot" w:pos="9062"/>
            </w:tabs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r:id="rId14" w:anchor="_Toc228355785" w:history="1">
            <w:r>
              <w:rPr>
                <w:rStyle w:val="Hiperhivatkozs"/>
                <w:noProof/>
              </w:rPr>
              <w:t>3.3.2.</w:t>
            </w:r>
            <w:r>
              <w:rPr>
                <w:rStyle w:val="Hiperhivatkozs"/>
                <w:rFonts w:eastAsiaTheme="minorEastAsia"/>
                <w:noProof/>
                <w:color w:val="auto"/>
                <w:kern w:val="2"/>
                <w:lang w:eastAsia="hu-HU"/>
                <w14:ligatures w14:val="standardContextual"/>
              </w:rPr>
              <w:tab/>
            </w:r>
            <w:r>
              <w:rPr>
                <w:rStyle w:val="Hiperhivatkozs"/>
                <w:noProof/>
              </w:rPr>
              <w:t>Óvodai étkeztetés</w:t>
            </w:r>
            <w:r>
              <w:rPr>
                <w:rStyle w:val="Hiperhivatkozs"/>
                <w:noProof/>
                <w:webHidden/>
                <w:color w:val="auto"/>
              </w:rPr>
              <w:tab/>
            </w:r>
            <w:r>
              <w:rPr>
                <w:rStyle w:val="Hiperhivatkozs"/>
                <w:noProof/>
                <w:webHidden/>
                <w:color w:val="auto"/>
              </w:rPr>
              <w:fldChar w:fldCharType="begin"/>
            </w:r>
            <w:r>
              <w:rPr>
                <w:rStyle w:val="Hiperhivatkozs"/>
                <w:noProof/>
                <w:webHidden/>
                <w:color w:val="auto"/>
              </w:rPr>
              <w:instrText xml:space="preserve"> PAGEREF _Toc228355785 \h </w:instrText>
            </w:r>
            <w:r>
              <w:rPr>
                <w:rStyle w:val="Hiperhivatkozs"/>
                <w:noProof/>
                <w:webHidden/>
                <w:color w:val="auto"/>
              </w:rPr>
            </w:r>
            <w:r>
              <w:rPr>
                <w:rStyle w:val="Hiperhivatkozs"/>
                <w:noProof/>
                <w:webHidden/>
                <w:color w:val="auto"/>
              </w:rPr>
              <w:fldChar w:fldCharType="separate"/>
            </w:r>
            <w:r>
              <w:rPr>
                <w:rStyle w:val="Hiperhivatkozs"/>
                <w:noProof/>
                <w:webHidden/>
                <w:color w:val="auto"/>
              </w:rPr>
              <w:t>4</w:t>
            </w:r>
            <w:r>
              <w:rPr>
                <w:rStyle w:val="Hiperhivatkozs"/>
                <w:noProof/>
                <w:webHidden/>
                <w:color w:val="auto"/>
              </w:rPr>
              <w:fldChar w:fldCharType="end"/>
            </w:r>
          </w:hyperlink>
        </w:p>
        <w:p w:rsidR="00442B0D" w:rsidRDefault="00442B0D" w:rsidP="00442B0D">
          <w:pPr>
            <w:pStyle w:val="TJ3"/>
            <w:tabs>
              <w:tab w:val="left" w:pos="1200"/>
              <w:tab w:val="right" w:leader="dot" w:pos="9062"/>
            </w:tabs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r:id="rId15" w:anchor="_Toc228355786" w:history="1">
            <w:r>
              <w:rPr>
                <w:rStyle w:val="Hiperhivatkozs"/>
                <w:noProof/>
              </w:rPr>
              <w:t>3.3.3.</w:t>
            </w:r>
            <w:r>
              <w:rPr>
                <w:rStyle w:val="Hiperhivatkozs"/>
                <w:rFonts w:eastAsiaTheme="minorEastAsia"/>
                <w:noProof/>
                <w:color w:val="auto"/>
                <w:kern w:val="2"/>
                <w:lang w:eastAsia="hu-HU"/>
                <w14:ligatures w14:val="standardContextual"/>
              </w:rPr>
              <w:tab/>
            </w:r>
            <w:r>
              <w:rPr>
                <w:rStyle w:val="Hiperhivatkozs"/>
                <w:noProof/>
              </w:rPr>
              <w:t>Iskolai étkeztetés</w:t>
            </w:r>
            <w:r>
              <w:rPr>
                <w:rStyle w:val="Hiperhivatkozs"/>
                <w:noProof/>
                <w:webHidden/>
                <w:color w:val="auto"/>
              </w:rPr>
              <w:tab/>
            </w:r>
            <w:r>
              <w:rPr>
                <w:rStyle w:val="Hiperhivatkozs"/>
                <w:noProof/>
                <w:webHidden/>
                <w:color w:val="auto"/>
              </w:rPr>
              <w:fldChar w:fldCharType="begin"/>
            </w:r>
            <w:r>
              <w:rPr>
                <w:rStyle w:val="Hiperhivatkozs"/>
                <w:noProof/>
                <w:webHidden/>
                <w:color w:val="auto"/>
              </w:rPr>
              <w:instrText xml:space="preserve"> PAGEREF _Toc228355786 \h </w:instrText>
            </w:r>
            <w:r>
              <w:rPr>
                <w:rStyle w:val="Hiperhivatkozs"/>
                <w:noProof/>
                <w:webHidden/>
                <w:color w:val="auto"/>
              </w:rPr>
            </w:r>
            <w:r>
              <w:rPr>
                <w:rStyle w:val="Hiperhivatkozs"/>
                <w:noProof/>
                <w:webHidden/>
                <w:color w:val="auto"/>
              </w:rPr>
              <w:fldChar w:fldCharType="separate"/>
            </w:r>
            <w:r>
              <w:rPr>
                <w:rStyle w:val="Hiperhivatkozs"/>
                <w:noProof/>
                <w:webHidden/>
                <w:color w:val="auto"/>
              </w:rPr>
              <w:t>4</w:t>
            </w:r>
            <w:r>
              <w:rPr>
                <w:rStyle w:val="Hiperhivatkozs"/>
                <w:noProof/>
                <w:webHidden/>
                <w:color w:val="auto"/>
              </w:rPr>
              <w:fldChar w:fldCharType="end"/>
            </w:r>
          </w:hyperlink>
        </w:p>
        <w:p w:rsidR="00442B0D" w:rsidRDefault="00442B0D" w:rsidP="00442B0D">
          <w:pPr>
            <w:pStyle w:val="TJ3"/>
            <w:tabs>
              <w:tab w:val="left" w:pos="1200"/>
              <w:tab w:val="right" w:leader="dot" w:pos="9062"/>
            </w:tabs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r:id="rId16" w:anchor="_Toc228355787" w:history="1">
            <w:r>
              <w:rPr>
                <w:rStyle w:val="Hiperhivatkozs"/>
                <w:noProof/>
              </w:rPr>
              <w:t>3.3.4.</w:t>
            </w:r>
            <w:r>
              <w:rPr>
                <w:rStyle w:val="Hiperhivatkozs"/>
                <w:rFonts w:eastAsiaTheme="minorEastAsia"/>
                <w:noProof/>
                <w:color w:val="auto"/>
                <w:kern w:val="2"/>
                <w:lang w:eastAsia="hu-HU"/>
                <w14:ligatures w14:val="standardContextual"/>
              </w:rPr>
              <w:tab/>
            </w:r>
            <w:r>
              <w:rPr>
                <w:rStyle w:val="Hiperhivatkozs"/>
                <w:noProof/>
              </w:rPr>
              <w:t>Szünidei étkeztetés</w:t>
            </w:r>
            <w:r>
              <w:rPr>
                <w:rStyle w:val="Hiperhivatkozs"/>
                <w:noProof/>
                <w:webHidden/>
                <w:color w:val="auto"/>
              </w:rPr>
              <w:tab/>
            </w:r>
            <w:r>
              <w:rPr>
                <w:rStyle w:val="Hiperhivatkozs"/>
                <w:noProof/>
                <w:webHidden/>
                <w:color w:val="auto"/>
              </w:rPr>
              <w:fldChar w:fldCharType="begin"/>
            </w:r>
            <w:r>
              <w:rPr>
                <w:rStyle w:val="Hiperhivatkozs"/>
                <w:noProof/>
                <w:webHidden/>
                <w:color w:val="auto"/>
              </w:rPr>
              <w:instrText xml:space="preserve"> PAGEREF _Toc228355787 \h </w:instrText>
            </w:r>
            <w:r>
              <w:rPr>
                <w:rStyle w:val="Hiperhivatkozs"/>
                <w:noProof/>
                <w:webHidden/>
                <w:color w:val="auto"/>
              </w:rPr>
            </w:r>
            <w:r>
              <w:rPr>
                <w:rStyle w:val="Hiperhivatkozs"/>
                <w:noProof/>
                <w:webHidden/>
                <w:color w:val="auto"/>
              </w:rPr>
              <w:fldChar w:fldCharType="separate"/>
            </w:r>
            <w:r>
              <w:rPr>
                <w:rStyle w:val="Hiperhivatkozs"/>
                <w:noProof/>
                <w:webHidden/>
                <w:color w:val="auto"/>
              </w:rPr>
              <w:t>4</w:t>
            </w:r>
            <w:r>
              <w:rPr>
                <w:rStyle w:val="Hiperhivatkozs"/>
                <w:noProof/>
                <w:webHidden/>
                <w:color w:val="auto"/>
              </w:rPr>
              <w:fldChar w:fldCharType="end"/>
            </w:r>
          </w:hyperlink>
        </w:p>
        <w:p w:rsidR="00442B0D" w:rsidRDefault="00442B0D" w:rsidP="00442B0D">
          <w:pPr>
            <w:pStyle w:val="TJ1"/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r:id="rId17" w:anchor="_Toc228355788" w:history="1">
            <w:r>
              <w:rPr>
                <w:rStyle w:val="Hiperhivatkozs"/>
                <w:noProof/>
              </w:rPr>
              <w:t>4.</w:t>
            </w:r>
            <w:r>
              <w:rPr>
                <w:rStyle w:val="Hiperhivatkozs"/>
                <w:rFonts w:eastAsiaTheme="minorEastAsia"/>
                <w:noProof/>
                <w:color w:val="auto"/>
                <w:kern w:val="2"/>
                <w:lang w:eastAsia="hu-HU"/>
                <w14:ligatures w14:val="standardContextual"/>
              </w:rPr>
              <w:tab/>
            </w:r>
            <w:r>
              <w:rPr>
                <w:rStyle w:val="Hiperhivatkozs"/>
                <w:noProof/>
              </w:rPr>
              <w:t>Az önkormányzat által biztosított személyes gondoskodást nyújtó ellátások bemutatása</w:t>
            </w:r>
            <w:r>
              <w:rPr>
                <w:rStyle w:val="Hiperhivatkozs"/>
                <w:noProof/>
                <w:webHidden/>
                <w:color w:val="auto"/>
              </w:rPr>
              <w:tab/>
            </w:r>
            <w:r>
              <w:rPr>
                <w:rStyle w:val="Hiperhivatkozs"/>
                <w:noProof/>
                <w:webHidden/>
                <w:color w:val="auto"/>
              </w:rPr>
              <w:fldChar w:fldCharType="begin"/>
            </w:r>
            <w:r>
              <w:rPr>
                <w:rStyle w:val="Hiperhivatkozs"/>
                <w:noProof/>
                <w:webHidden/>
                <w:color w:val="auto"/>
              </w:rPr>
              <w:instrText xml:space="preserve"> PAGEREF _Toc228355788 \h </w:instrText>
            </w:r>
            <w:r>
              <w:rPr>
                <w:rStyle w:val="Hiperhivatkozs"/>
                <w:noProof/>
                <w:webHidden/>
                <w:color w:val="auto"/>
              </w:rPr>
            </w:r>
            <w:r>
              <w:rPr>
                <w:rStyle w:val="Hiperhivatkozs"/>
                <w:noProof/>
                <w:webHidden/>
                <w:color w:val="auto"/>
              </w:rPr>
              <w:fldChar w:fldCharType="separate"/>
            </w:r>
            <w:r>
              <w:rPr>
                <w:rStyle w:val="Hiperhivatkozs"/>
                <w:noProof/>
                <w:webHidden/>
                <w:color w:val="auto"/>
              </w:rPr>
              <w:t>4</w:t>
            </w:r>
            <w:r>
              <w:rPr>
                <w:rStyle w:val="Hiperhivatkozs"/>
                <w:noProof/>
                <w:webHidden/>
                <w:color w:val="auto"/>
              </w:rPr>
              <w:fldChar w:fldCharType="end"/>
            </w:r>
          </w:hyperlink>
        </w:p>
        <w:p w:rsidR="00442B0D" w:rsidRDefault="00442B0D" w:rsidP="00442B0D">
          <w:pPr>
            <w:pStyle w:val="TJ2"/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r:id="rId18" w:anchor="_Toc228355789" w:history="1">
            <w:r>
              <w:rPr>
                <w:rStyle w:val="Hiperhivatkozs"/>
                <w:noProof/>
              </w:rPr>
              <w:t>4.1.</w:t>
            </w:r>
            <w:r>
              <w:rPr>
                <w:rStyle w:val="Hiperhivatkozs"/>
                <w:rFonts w:eastAsiaTheme="minorEastAsia"/>
                <w:noProof/>
                <w:color w:val="auto"/>
                <w:kern w:val="2"/>
                <w:lang w:eastAsia="hu-HU"/>
                <w14:ligatures w14:val="standardContextual"/>
              </w:rPr>
              <w:tab/>
            </w:r>
            <w:r>
              <w:rPr>
                <w:rStyle w:val="Hiperhivatkozs"/>
                <w:noProof/>
              </w:rPr>
              <w:t>Gyermekjóléti szolgáltatás biztosításának módja, működésének tapasztalata (alapellátásban részesülők száma, gyermekek veszélyeztetettségének okai, válsághelyzetben levő várandós anyák gondozása, családjából kiemelt gyermek szüleinek gondozása, jelzőrendszer tagjaival való együttműködés tapasztalatai)</w:t>
            </w:r>
            <w:r>
              <w:rPr>
                <w:rStyle w:val="Hiperhivatkozs"/>
                <w:noProof/>
                <w:webHidden/>
                <w:color w:val="auto"/>
              </w:rPr>
              <w:tab/>
            </w:r>
            <w:r>
              <w:rPr>
                <w:rStyle w:val="Hiperhivatkozs"/>
                <w:noProof/>
                <w:webHidden/>
                <w:color w:val="auto"/>
              </w:rPr>
              <w:fldChar w:fldCharType="begin"/>
            </w:r>
            <w:r>
              <w:rPr>
                <w:rStyle w:val="Hiperhivatkozs"/>
                <w:noProof/>
                <w:webHidden/>
                <w:color w:val="auto"/>
              </w:rPr>
              <w:instrText xml:space="preserve"> PAGEREF _Toc228355789 \h </w:instrText>
            </w:r>
            <w:r>
              <w:rPr>
                <w:rStyle w:val="Hiperhivatkozs"/>
                <w:noProof/>
                <w:webHidden/>
                <w:color w:val="auto"/>
              </w:rPr>
            </w:r>
            <w:r>
              <w:rPr>
                <w:rStyle w:val="Hiperhivatkozs"/>
                <w:noProof/>
                <w:webHidden/>
                <w:color w:val="auto"/>
              </w:rPr>
              <w:fldChar w:fldCharType="separate"/>
            </w:r>
            <w:r>
              <w:rPr>
                <w:rStyle w:val="Hiperhivatkozs"/>
                <w:noProof/>
                <w:webHidden/>
                <w:color w:val="auto"/>
              </w:rPr>
              <w:t>4</w:t>
            </w:r>
            <w:r>
              <w:rPr>
                <w:rStyle w:val="Hiperhivatkozs"/>
                <w:noProof/>
                <w:webHidden/>
                <w:color w:val="auto"/>
              </w:rPr>
              <w:fldChar w:fldCharType="end"/>
            </w:r>
          </w:hyperlink>
        </w:p>
        <w:p w:rsidR="00442B0D" w:rsidRDefault="00442B0D" w:rsidP="00442B0D">
          <w:pPr>
            <w:pStyle w:val="TJ2"/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r:id="rId19" w:anchor="_Toc228355790" w:history="1">
            <w:r>
              <w:rPr>
                <w:rStyle w:val="Hiperhivatkozs"/>
                <w:noProof/>
              </w:rPr>
              <w:t>4.2.</w:t>
            </w:r>
            <w:r>
              <w:rPr>
                <w:rStyle w:val="Hiperhivatkozs"/>
                <w:rFonts w:eastAsiaTheme="minorEastAsia"/>
                <w:noProof/>
                <w:color w:val="auto"/>
                <w:kern w:val="2"/>
                <w:lang w:eastAsia="hu-HU"/>
                <w14:ligatures w14:val="standardContextual"/>
              </w:rPr>
              <w:tab/>
            </w:r>
            <w:r>
              <w:rPr>
                <w:rStyle w:val="Hiperhivatkozs"/>
                <w:noProof/>
              </w:rPr>
              <w:t>Gyermekek napközbeni ellátásának, gyermekek átmeneti gondozásának biztosítása, ezen ellátások igénybevétele, s az ezzel összefüggő tapasztalatok</w:t>
            </w:r>
            <w:r>
              <w:rPr>
                <w:rStyle w:val="Hiperhivatkozs"/>
                <w:noProof/>
                <w:webHidden/>
                <w:color w:val="auto"/>
              </w:rPr>
              <w:tab/>
            </w:r>
            <w:r>
              <w:rPr>
                <w:rStyle w:val="Hiperhivatkozs"/>
                <w:noProof/>
                <w:webHidden/>
                <w:color w:val="auto"/>
              </w:rPr>
              <w:fldChar w:fldCharType="begin"/>
            </w:r>
            <w:r>
              <w:rPr>
                <w:rStyle w:val="Hiperhivatkozs"/>
                <w:noProof/>
                <w:webHidden/>
                <w:color w:val="auto"/>
              </w:rPr>
              <w:instrText xml:space="preserve"> PAGEREF _Toc228355790 \h </w:instrText>
            </w:r>
            <w:r>
              <w:rPr>
                <w:rStyle w:val="Hiperhivatkozs"/>
                <w:noProof/>
                <w:webHidden/>
                <w:color w:val="auto"/>
              </w:rPr>
            </w:r>
            <w:r>
              <w:rPr>
                <w:rStyle w:val="Hiperhivatkozs"/>
                <w:noProof/>
                <w:webHidden/>
                <w:color w:val="auto"/>
              </w:rPr>
              <w:fldChar w:fldCharType="separate"/>
            </w:r>
            <w:r>
              <w:rPr>
                <w:rStyle w:val="Hiperhivatkozs"/>
                <w:noProof/>
                <w:webHidden/>
                <w:color w:val="auto"/>
              </w:rPr>
              <w:t>4</w:t>
            </w:r>
            <w:r>
              <w:rPr>
                <w:rStyle w:val="Hiperhivatkozs"/>
                <w:noProof/>
                <w:webHidden/>
                <w:color w:val="auto"/>
              </w:rPr>
              <w:fldChar w:fldCharType="end"/>
            </w:r>
          </w:hyperlink>
        </w:p>
        <w:p w:rsidR="00442B0D" w:rsidRDefault="00442B0D" w:rsidP="00442B0D">
          <w:pPr>
            <w:pStyle w:val="TJ1"/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r:id="rId20" w:anchor="_Toc228355791" w:history="1">
            <w:r>
              <w:rPr>
                <w:rStyle w:val="Hiperhivatkozs"/>
                <w:noProof/>
              </w:rPr>
              <w:t>5.</w:t>
            </w:r>
            <w:r>
              <w:rPr>
                <w:rStyle w:val="Hiperhivatkozs"/>
                <w:rFonts w:eastAsiaTheme="minorEastAsia"/>
                <w:noProof/>
                <w:color w:val="auto"/>
                <w:kern w:val="2"/>
                <w:lang w:eastAsia="hu-HU"/>
                <w14:ligatures w14:val="standardContextual"/>
              </w:rPr>
              <w:tab/>
            </w:r>
            <w:r>
              <w:rPr>
                <w:rStyle w:val="Hiperhivatkozs"/>
                <w:noProof/>
              </w:rPr>
              <w:t>A felügyeleti szervek által gyámhatósági, gyermekvédelmi területen végzett szakmai ellenőrzések tapasztalatainak, továbbá a gyermekjóléti és gyermekvédelmi szolgáltató tevékenységet végzők ellenőrzésének alkalmával tett megállapítások bemutatása</w:t>
            </w:r>
            <w:r>
              <w:rPr>
                <w:rStyle w:val="Hiperhivatkozs"/>
                <w:noProof/>
                <w:webHidden/>
                <w:color w:val="auto"/>
              </w:rPr>
              <w:tab/>
            </w:r>
            <w:r>
              <w:rPr>
                <w:rStyle w:val="Hiperhivatkozs"/>
                <w:noProof/>
                <w:webHidden/>
                <w:color w:val="auto"/>
              </w:rPr>
              <w:fldChar w:fldCharType="begin"/>
            </w:r>
            <w:r>
              <w:rPr>
                <w:rStyle w:val="Hiperhivatkozs"/>
                <w:noProof/>
                <w:webHidden/>
                <w:color w:val="auto"/>
              </w:rPr>
              <w:instrText xml:space="preserve"> PAGEREF _Toc228355791 \h </w:instrText>
            </w:r>
            <w:r>
              <w:rPr>
                <w:rStyle w:val="Hiperhivatkozs"/>
                <w:noProof/>
                <w:webHidden/>
                <w:color w:val="auto"/>
              </w:rPr>
            </w:r>
            <w:r>
              <w:rPr>
                <w:rStyle w:val="Hiperhivatkozs"/>
                <w:noProof/>
                <w:webHidden/>
                <w:color w:val="auto"/>
              </w:rPr>
              <w:fldChar w:fldCharType="separate"/>
            </w:r>
            <w:r>
              <w:rPr>
                <w:rStyle w:val="Hiperhivatkozs"/>
                <w:noProof/>
                <w:webHidden/>
                <w:color w:val="auto"/>
              </w:rPr>
              <w:t>4</w:t>
            </w:r>
            <w:r>
              <w:rPr>
                <w:rStyle w:val="Hiperhivatkozs"/>
                <w:noProof/>
                <w:webHidden/>
                <w:color w:val="auto"/>
              </w:rPr>
              <w:fldChar w:fldCharType="end"/>
            </w:r>
          </w:hyperlink>
        </w:p>
        <w:p w:rsidR="00442B0D" w:rsidRDefault="00442B0D" w:rsidP="00442B0D">
          <w:pPr>
            <w:pStyle w:val="TJ2"/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r:id="rId21" w:anchor="_Toc228355792" w:history="1">
            <w:r>
              <w:rPr>
                <w:rStyle w:val="Hiperhivatkozs"/>
                <w:noProof/>
              </w:rPr>
              <w:t>5.1.</w:t>
            </w:r>
            <w:r>
              <w:rPr>
                <w:rStyle w:val="Hiperhivatkozs"/>
                <w:rFonts w:eastAsiaTheme="minorEastAsia"/>
                <w:noProof/>
                <w:color w:val="auto"/>
                <w:kern w:val="2"/>
                <w:lang w:eastAsia="hu-HU"/>
                <w14:ligatures w14:val="standardContextual"/>
              </w:rPr>
              <w:tab/>
            </w:r>
            <w:r>
              <w:rPr>
                <w:rStyle w:val="Hiperhivatkozs"/>
                <w:noProof/>
              </w:rPr>
              <w:t>Nebuló Közétkeztetési Intézmény</w:t>
            </w:r>
            <w:r>
              <w:rPr>
                <w:rStyle w:val="Hiperhivatkozs"/>
                <w:noProof/>
                <w:webHidden/>
                <w:color w:val="auto"/>
              </w:rPr>
              <w:tab/>
            </w:r>
            <w:r>
              <w:rPr>
                <w:rStyle w:val="Hiperhivatkozs"/>
                <w:noProof/>
                <w:webHidden/>
                <w:color w:val="auto"/>
              </w:rPr>
              <w:fldChar w:fldCharType="begin"/>
            </w:r>
            <w:r>
              <w:rPr>
                <w:rStyle w:val="Hiperhivatkozs"/>
                <w:noProof/>
                <w:webHidden/>
                <w:color w:val="auto"/>
              </w:rPr>
              <w:instrText xml:space="preserve"> PAGEREF _Toc228355792 \h </w:instrText>
            </w:r>
            <w:r>
              <w:rPr>
                <w:rStyle w:val="Hiperhivatkozs"/>
                <w:noProof/>
                <w:webHidden/>
                <w:color w:val="auto"/>
              </w:rPr>
            </w:r>
            <w:r>
              <w:rPr>
                <w:rStyle w:val="Hiperhivatkozs"/>
                <w:noProof/>
                <w:webHidden/>
                <w:color w:val="auto"/>
              </w:rPr>
              <w:fldChar w:fldCharType="separate"/>
            </w:r>
            <w:r>
              <w:rPr>
                <w:rStyle w:val="Hiperhivatkozs"/>
                <w:noProof/>
                <w:webHidden/>
                <w:color w:val="auto"/>
              </w:rPr>
              <w:t>4</w:t>
            </w:r>
            <w:r>
              <w:rPr>
                <w:rStyle w:val="Hiperhivatkozs"/>
                <w:noProof/>
                <w:webHidden/>
                <w:color w:val="auto"/>
              </w:rPr>
              <w:fldChar w:fldCharType="end"/>
            </w:r>
          </w:hyperlink>
        </w:p>
        <w:p w:rsidR="00442B0D" w:rsidRDefault="00442B0D" w:rsidP="00442B0D">
          <w:pPr>
            <w:pStyle w:val="TJ2"/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r:id="rId22" w:anchor="_Toc228355793" w:history="1">
            <w:r>
              <w:rPr>
                <w:rStyle w:val="Hiperhivatkozs"/>
                <w:noProof/>
              </w:rPr>
              <w:t>5.2.</w:t>
            </w:r>
            <w:r>
              <w:rPr>
                <w:rStyle w:val="Hiperhivatkozs"/>
                <w:rFonts w:eastAsiaTheme="minorEastAsia"/>
                <w:noProof/>
                <w:color w:val="auto"/>
                <w:kern w:val="2"/>
                <w:lang w:eastAsia="hu-HU"/>
                <w14:ligatures w14:val="standardContextual"/>
              </w:rPr>
              <w:tab/>
            </w:r>
            <w:r>
              <w:rPr>
                <w:rStyle w:val="Hiperhivatkozs"/>
                <w:noProof/>
              </w:rPr>
              <w:t>Nobilis Humán Szolgáltató</w:t>
            </w:r>
            <w:r>
              <w:rPr>
                <w:rStyle w:val="Hiperhivatkozs"/>
                <w:noProof/>
                <w:webHidden/>
                <w:color w:val="auto"/>
              </w:rPr>
              <w:tab/>
            </w:r>
            <w:r>
              <w:rPr>
                <w:rStyle w:val="Hiperhivatkozs"/>
                <w:noProof/>
                <w:webHidden/>
                <w:color w:val="auto"/>
              </w:rPr>
              <w:fldChar w:fldCharType="begin"/>
            </w:r>
            <w:r>
              <w:rPr>
                <w:rStyle w:val="Hiperhivatkozs"/>
                <w:noProof/>
                <w:webHidden/>
                <w:color w:val="auto"/>
              </w:rPr>
              <w:instrText xml:space="preserve"> PAGEREF _Toc228355793 \h </w:instrText>
            </w:r>
            <w:r>
              <w:rPr>
                <w:rStyle w:val="Hiperhivatkozs"/>
                <w:noProof/>
                <w:webHidden/>
                <w:color w:val="auto"/>
              </w:rPr>
            </w:r>
            <w:r>
              <w:rPr>
                <w:rStyle w:val="Hiperhivatkozs"/>
                <w:noProof/>
                <w:webHidden/>
                <w:color w:val="auto"/>
              </w:rPr>
              <w:fldChar w:fldCharType="separate"/>
            </w:r>
            <w:r>
              <w:rPr>
                <w:rStyle w:val="Hiperhivatkozs"/>
                <w:noProof/>
                <w:webHidden/>
                <w:color w:val="auto"/>
              </w:rPr>
              <w:t>4</w:t>
            </w:r>
            <w:r>
              <w:rPr>
                <w:rStyle w:val="Hiperhivatkozs"/>
                <w:noProof/>
                <w:webHidden/>
                <w:color w:val="auto"/>
              </w:rPr>
              <w:fldChar w:fldCharType="end"/>
            </w:r>
          </w:hyperlink>
        </w:p>
        <w:p w:rsidR="00442B0D" w:rsidRDefault="00442B0D" w:rsidP="00442B0D">
          <w:pPr>
            <w:pStyle w:val="TJ1"/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r:id="rId23" w:anchor="_Toc228355794" w:history="1">
            <w:r>
              <w:rPr>
                <w:rStyle w:val="Hiperhivatkozs"/>
                <w:noProof/>
              </w:rPr>
              <w:t>6.</w:t>
            </w:r>
            <w:r>
              <w:rPr>
                <w:rStyle w:val="Hiperhivatkozs"/>
                <w:rFonts w:eastAsiaTheme="minorEastAsia"/>
                <w:noProof/>
                <w:color w:val="auto"/>
                <w:kern w:val="2"/>
                <w:lang w:eastAsia="hu-HU"/>
                <w14:ligatures w14:val="standardContextual"/>
              </w:rPr>
              <w:tab/>
            </w:r>
            <w:r>
              <w:rPr>
                <w:rStyle w:val="Hiperhivatkozs"/>
                <w:noProof/>
              </w:rPr>
              <w:t>Jövőre vonatkozó javaslatok, célok meghatározása a Gyvt. előírásai alapján (milyen ellátásokra és intézményekre lenne szükség a problémák hatékonyabb kezelése érdekében, gyermekvédelmi prevenciós elképzelések)</w:t>
            </w:r>
            <w:r>
              <w:rPr>
                <w:rStyle w:val="Hiperhivatkozs"/>
                <w:noProof/>
                <w:webHidden/>
                <w:color w:val="auto"/>
              </w:rPr>
              <w:tab/>
            </w:r>
            <w:r>
              <w:rPr>
                <w:rStyle w:val="Hiperhivatkozs"/>
                <w:noProof/>
                <w:webHidden/>
                <w:color w:val="auto"/>
              </w:rPr>
              <w:fldChar w:fldCharType="begin"/>
            </w:r>
            <w:r>
              <w:rPr>
                <w:rStyle w:val="Hiperhivatkozs"/>
                <w:noProof/>
                <w:webHidden/>
                <w:color w:val="auto"/>
              </w:rPr>
              <w:instrText xml:space="preserve"> PAGEREF _Toc228355794 \h </w:instrText>
            </w:r>
            <w:r>
              <w:rPr>
                <w:rStyle w:val="Hiperhivatkozs"/>
                <w:noProof/>
                <w:webHidden/>
                <w:color w:val="auto"/>
              </w:rPr>
            </w:r>
            <w:r>
              <w:rPr>
                <w:rStyle w:val="Hiperhivatkozs"/>
                <w:noProof/>
                <w:webHidden/>
                <w:color w:val="auto"/>
              </w:rPr>
              <w:fldChar w:fldCharType="separate"/>
            </w:r>
            <w:r>
              <w:rPr>
                <w:rStyle w:val="Hiperhivatkozs"/>
                <w:noProof/>
                <w:webHidden/>
                <w:color w:val="auto"/>
              </w:rPr>
              <w:t>4</w:t>
            </w:r>
            <w:r>
              <w:rPr>
                <w:rStyle w:val="Hiperhivatkozs"/>
                <w:noProof/>
                <w:webHidden/>
                <w:color w:val="auto"/>
              </w:rPr>
              <w:fldChar w:fldCharType="end"/>
            </w:r>
          </w:hyperlink>
        </w:p>
        <w:p w:rsidR="00442B0D" w:rsidRDefault="00442B0D" w:rsidP="00442B0D">
          <w:pPr>
            <w:pStyle w:val="TJ2"/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r:id="rId24" w:anchor="_Toc228355795" w:history="1">
            <w:r>
              <w:rPr>
                <w:rStyle w:val="Hiperhivatkozs"/>
                <w:rFonts w:eastAsia="Constantia"/>
                <w:noProof/>
              </w:rPr>
              <w:t>6.1.</w:t>
            </w:r>
            <w:r>
              <w:rPr>
                <w:rStyle w:val="Hiperhivatkozs"/>
                <w:rFonts w:eastAsiaTheme="minorEastAsia"/>
                <w:noProof/>
                <w:color w:val="auto"/>
                <w:kern w:val="2"/>
                <w:lang w:eastAsia="hu-HU"/>
                <w14:ligatures w14:val="standardContextual"/>
              </w:rPr>
              <w:tab/>
            </w:r>
            <w:r>
              <w:rPr>
                <w:rStyle w:val="Hiperhivatkozs"/>
                <w:rFonts w:eastAsia="Constantia"/>
                <w:noProof/>
              </w:rPr>
              <w:t>Javaslatok a Nebuló részéről</w:t>
            </w:r>
            <w:r>
              <w:rPr>
                <w:rStyle w:val="Hiperhivatkozs"/>
                <w:noProof/>
                <w:webHidden/>
                <w:color w:val="auto"/>
              </w:rPr>
              <w:tab/>
            </w:r>
            <w:r>
              <w:rPr>
                <w:rStyle w:val="Hiperhivatkozs"/>
                <w:noProof/>
                <w:webHidden/>
                <w:color w:val="auto"/>
              </w:rPr>
              <w:fldChar w:fldCharType="begin"/>
            </w:r>
            <w:r>
              <w:rPr>
                <w:rStyle w:val="Hiperhivatkozs"/>
                <w:noProof/>
                <w:webHidden/>
                <w:color w:val="auto"/>
              </w:rPr>
              <w:instrText xml:space="preserve"> PAGEREF _Toc228355795 \h </w:instrText>
            </w:r>
            <w:r>
              <w:rPr>
                <w:rStyle w:val="Hiperhivatkozs"/>
                <w:noProof/>
                <w:webHidden/>
                <w:color w:val="auto"/>
              </w:rPr>
            </w:r>
            <w:r>
              <w:rPr>
                <w:rStyle w:val="Hiperhivatkozs"/>
                <w:noProof/>
                <w:webHidden/>
                <w:color w:val="auto"/>
              </w:rPr>
              <w:fldChar w:fldCharType="separate"/>
            </w:r>
            <w:r>
              <w:rPr>
                <w:rStyle w:val="Hiperhivatkozs"/>
                <w:noProof/>
                <w:webHidden/>
                <w:color w:val="auto"/>
              </w:rPr>
              <w:t>4</w:t>
            </w:r>
            <w:r>
              <w:rPr>
                <w:rStyle w:val="Hiperhivatkozs"/>
                <w:noProof/>
                <w:webHidden/>
                <w:color w:val="auto"/>
              </w:rPr>
              <w:fldChar w:fldCharType="end"/>
            </w:r>
          </w:hyperlink>
        </w:p>
        <w:p w:rsidR="00442B0D" w:rsidRDefault="00442B0D" w:rsidP="00442B0D">
          <w:pPr>
            <w:pStyle w:val="TJ1"/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r:id="rId25" w:anchor="_Toc228355796" w:history="1">
            <w:r>
              <w:rPr>
                <w:rStyle w:val="Hiperhivatkozs"/>
                <w:noProof/>
              </w:rPr>
              <w:t>7.</w:t>
            </w:r>
            <w:r>
              <w:rPr>
                <w:rStyle w:val="Hiperhivatkozs"/>
                <w:rFonts w:eastAsiaTheme="minorEastAsia"/>
                <w:noProof/>
                <w:color w:val="auto"/>
                <w:kern w:val="2"/>
                <w:lang w:eastAsia="hu-HU"/>
                <w14:ligatures w14:val="standardContextual"/>
              </w:rPr>
              <w:tab/>
            </w:r>
            <w:r>
              <w:rPr>
                <w:rStyle w:val="Hiperhivatkozs"/>
                <w:noProof/>
              </w:rPr>
              <w:t>A bűnmegelőzési program főbb pontjainak bemutatása (amennyiben a településen készült ilyen program), valamint a gyermekkorú és a fiatalkorú bűnelkövetők számának az általuk elkövetett bűncselekmények számának, a bűnelkövetés okainak bemutatása</w:t>
            </w:r>
            <w:r>
              <w:rPr>
                <w:rStyle w:val="Hiperhivatkozs"/>
                <w:noProof/>
                <w:webHidden/>
                <w:color w:val="auto"/>
              </w:rPr>
              <w:tab/>
            </w:r>
            <w:r>
              <w:rPr>
                <w:rStyle w:val="Hiperhivatkozs"/>
                <w:noProof/>
                <w:webHidden/>
                <w:color w:val="auto"/>
              </w:rPr>
              <w:fldChar w:fldCharType="begin"/>
            </w:r>
            <w:r>
              <w:rPr>
                <w:rStyle w:val="Hiperhivatkozs"/>
                <w:noProof/>
                <w:webHidden/>
                <w:color w:val="auto"/>
              </w:rPr>
              <w:instrText xml:space="preserve"> PAGEREF _Toc228355796 \h </w:instrText>
            </w:r>
            <w:r>
              <w:rPr>
                <w:rStyle w:val="Hiperhivatkozs"/>
                <w:noProof/>
                <w:webHidden/>
                <w:color w:val="auto"/>
              </w:rPr>
            </w:r>
            <w:r>
              <w:rPr>
                <w:rStyle w:val="Hiperhivatkozs"/>
                <w:noProof/>
                <w:webHidden/>
                <w:color w:val="auto"/>
              </w:rPr>
              <w:fldChar w:fldCharType="separate"/>
            </w:r>
            <w:r>
              <w:rPr>
                <w:rStyle w:val="Hiperhivatkozs"/>
                <w:noProof/>
                <w:webHidden/>
                <w:color w:val="auto"/>
              </w:rPr>
              <w:t>4</w:t>
            </w:r>
            <w:r>
              <w:rPr>
                <w:rStyle w:val="Hiperhivatkozs"/>
                <w:noProof/>
                <w:webHidden/>
                <w:color w:val="auto"/>
              </w:rPr>
              <w:fldChar w:fldCharType="end"/>
            </w:r>
          </w:hyperlink>
        </w:p>
        <w:p w:rsidR="00442B0D" w:rsidRDefault="00442B0D" w:rsidP="00442B0D">
          <w:pPr>
            <w:pStyle w:val="TJ1"/>
            <w:rPr>
              <w:rFonts w:ascii="Times New Roman" w:eastAsiaTheme="minorEastAsia" w:hAnsi="Times New Roman"/>
              <w:noProof/>
              <w:kern w:val="2"/>
              <w:lang w:eastAsia="hu-HU"/>
              <w14:ligatures w14:val="standardContextual"/>
            </w:rPr>
          </w:pPr>
          <w:hyperlink r:id="rId26" w:anchor="_Toc228355797" w:history="1">
            <w:r>
              <w:rPr>
                <w:rStyle w:val="Hiperhivatkozs"/>
                <w:noProof/>
              </w:rPr>
              <w:t>8.</w:t>
            </w:r>
            <w:r>
              <w:rPr>
                <w:rStyle w:val="Hiperhivatkozs"/>
                <w:rFonts w:eastAsiaTheme="minorEastAsia"/>
                <w:noProof/>
                <w:color w:val="auto"/>
                <w:kern w:val="2"/>
                <w:lang w:eastAsia="hu-HU"/>
                <w14:ligatures w14:val="standardContextual"/>
              </w:rPr>
              <w:tab/>
            </w:r>
            <w:r>
              <w:rPr>
                <w:rStyle w:val="Hiperhivatkozs"/>
                <w:noProof/>
              </w:rPr>
              <w:t>A települési önkormányzat és a civil szervezetek közötti együttműködés keretében milyen feladatok, szolgáltatások ellátásában vesznek részt civil szervezetek (alapellátás, szakellátás, szabadidős programok, drogprevenció stb.).</w:t>
            </w:r>
            <w:r>
              <w:rPr>
                <w:rStyle w:val="Hiperhivatkozs"/>
                <w:noProof/>
                <w:webHidden/>
                <w:color w:val="auto"/>
              </w:rPr>
              <w:tab/>
            </w:r>
            <w:r>
              <w:rPr>
                <w:rStyle w:val="Hiperhivatkozs"/>
                <w:noProof/>
                <w:webHidden/>
                <w:color w:val="auto"/>
              </w:rPr>
              <w:fldChar w:fldCharType="begin"/>
            </w:r>
            <w:r>
              <w:rPr>
                <w:rStyle w:val="Hiperhivatkozs"/>
                <w:noProof/>
                <w:webHidden/>
                <w:color w:val="auto"/>
              </w:rPr>
              <w:instrText xml:space="preserve"> PAGEREF _Toc228355797 \h </w:instrText>
            </w:r>
            <w:r>
              <w:rPr>
                <w:rStyle w:val="Hiperhivatkozs"/>
                <w:noProof/>
                <w:webHidden/>
                <w:color w:val="auto"/>
              </w:rPr>
            </w:r>
            <w:r>
              <w:rPr>
                <w:rStyle w:val="Hiperhivatkozs"/>
                <w:noProof/>
                <w:webHidden/>
                <w:color w:val="auto"/>
              </w:rPr>
              <w:fldChar w:fldCharType="separate"/>
            </w:r>
            <w:r>
              <w:rPr>
                <w:rStyle w:val="Hiperhivatkozs"/>
                <w:noProof/>
                <w:webHidden/>
                <w:color w:val="auto"/>
              </w:rPr>
              <w:t>4</w:t>
            </w:r>
            <w:r>
              <w:rPr>
                <w:rStyle w:val="Hiperhivatkozs"/>
                <w:noProof/>
                <w:webHidden/>
                <w:color w:val="auto"/>
              </w:rPr>
              <w:fldChar w:fldCharType="end"/>
            </w:r>
          </w:hyperlink>
        </w:p>
        <w:p w:rsidR="00442B0D" w:rsidRDefault="00442B0D" w:rsidP="00442B0D">
          <w:r>
            <w:rPr>
              <w:b/>
              <w:bCs/>
              <w:sz w:val="22"/>
              <w:szCs w:val="22"/>
            </w:rPr>
            <w:fldChar w:fldCharType="end"/>
          </w:r>
        </w:p>
      </w:sdtContent>
    </w:sdt>
    <w:p w:rsidR="00442B0D" w:rsidRDefault="00442B0D" w:rsidP="00442B0D">
      <w:pPr>
        <w:suppressAutoHyphens w:val="0"/>
        <w:spacing w:after="160" w:line="256" w:lineRule="auto"/>
        <w:rPr>
          <w:rFonts w:eastAsia="Calibri"/>
          <w:color w:val="auto"/>
          <w:lang w:eastAsia="en-US"/>
        </w:rPr>
      </w:pPr>
    </w:p>
    <w:p w:rsidR="00442B0D" w:rsidRDefault="00442B0D" w:rsidP="00442B0D">
      <w:pPr>
        <w:suppressAutoHyphens w:val="0"/>
        <w:spacing w:after="160" w:line="256" w:lineRule="auto"/>
        <w:rPr>
          <w:rFonts w:eastAsia="Calibri"/>
          <w:color w:val="auto"/>
          <w:lang w:eastAsia="en-US"/>
        </w:rPr>
      </w:pPr>
    </w:p>
    <w:p w:rsidR="00442B0D" w:rsidRDefault="00442B0D" w:rsidP="00442B0D">
      <w:pPr>
        <w:pStyle w:val="Cmsor1"/>
      </w:pPr>
      <w:bookmarkStart w:id="1" w:name="_Toc228355778"/>
      <w:bookmarkStart w:id="2" w:name="_Hlk132881312"/>
      <w:r>
        <w:t>Előszó</w:t>
      </w:r>
      <w:bookmarkEnd w:id="1"/>
    </w:p>
    <w:bookmarkEnd w:id="2"/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A gyermekek védelméről és a gyámügyi igazgatásról szóló 1997. évi XXXI. törvény (a továbbiakban: Gyvt.) 96. § (6) bekezdése értelmében </w:t>
      </w:r>
      <w:r>
        <w:rPr>
          <w:rFonts w:eastAsia="Calibri"/>
          <w:color w:val="auto"/>
          <w:lang w:eastAsia="x-none" w:bidi="x-none"/>
        </w:rPr>
        <w:t xml:space="preserve">a </w:t>
      </w:r>
      <w:r>
        <w:rPr>
          <w:rFonts w:eastAsia="Calibri"/>
          <w:bCs/>
          <w:iCs/>
          <w:color w:val="auto"/>
          <w:lang w:eastAsia="x-none" w:bidi="x-none"/>
        </w:rPr>
        <w:t xml:space="preserve">települési önkormányzat a gyermekjóléti és gyermekvédelmi feladatainak ellátásáról minden év május 31-éig átfogó értékelést készít. Az értékelést a képviselő-testület általi megtárgyalást követően meg kell küldeni a </w:t>
      </w:r>
      <w:r>
        <w:rPr>
          <w:rFonts w:eastAsia="Calibri"/>
          <w:bCs/>
          <w:iCs/>
          <w:color w:val="auto"/>
          <w:lang w:eastAsia="x-none" w:bidi="x-none"/>
        </w:rPr>
        <w:lastRenderedPageBreak/>
        <w:t xml:space="preserve">gyámhatóságnak. </w:t>
      </w:r>
      <w:r>
        <w:rPr>
          <w:rFonts w:eastAsia="Calibri"/>
          <w:iCs/>
          <w:color w:val="auto"/>
          <w:lang w:eastAsia="x-none" w:bidi="x-none"/>
        </w:rPr>
        <w:t>A gyámhatóság az értékelés kézhezvételétől számított harminc napon belül javaslattal élhet a települési önkormányzat, illetve az állam fenntartói feladatainak ellátására a Kormány rendeletében kijelölt szerv felé, amely hatvan napon belül érdemben megvizsgálja a gyámhatóság javaslatait és állásfoglalásáról, intézkedéséről tájékoztatja.</w:t>
      </w:r>
      <w:r>
        <w:rPr>
          <w:rFonts w:eastAsia="Calibri"/>
          <w:color w:val="auto"/>
          <w:lang w:eastAsia="en-US"/>
        </w:rPr>
        <w:t xml:space="preserve"> 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x-none" w:bidi="x-none"/>
        </w:rPr>
        <w:t>Az átfogó értékelés a</w:t>
      </w:r>
      <w:r>
        <w:rPr>
          <w:rFonts w:eastAsia="Calibri"/>
          <w:b/>
          <w:color w:val="auto"/>
          <w:lang w:eastAsia="x-none" w:bidi="x-none"/>
        </w:rPr>
        <w:t xml:space="preserve"> </w:t>
      </w:r>
      <w:r>
        <w:rPr>
          <w:rFonts w:eastAsia="Calibri"/>
          <w:color w:val="auto"/>
          <w:lang w:eastAsia="en-US"/>
        </w:rPr>
        <w:t xml:space="preserve">gyámhatóságokról, valamint a gyermekvédelmi és gyámügyi eljárásról szóló 149/1997. (IX. 10.) Korm. rendelet 10. számú melléklet I. részében meghatározott tartalmi követelmények alapulvételével az önkormányzat, a Polgármesteri Hivatal rendelkezésére álló adatok, statisztikai adatok, a jegyzői gyámhatóság működésére vonatkozó statisztikai adatok, a Szigetszentmiklósi Rendőrkapitányság Tököli Örs éves beszámolója, valamint a Nebuló Közétkeztetési Intézmény és a Nobilis Humán Szolgáltató Család- és Gyermekjóléti Szolgálat éves szakmai működéséről szóló beszámoló alapján készült. 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Az értékelés során a 2025. év a tárgyév.</w:t>
      </w:r>
    </w:p>
    <w:p w:rsidR="00442B0D" w:rsidRDefault="00442B0D" w:rsidP="00442B0D">
      <w:pPr>
        <w:pStyle w:val="Cmsor1"/>
      </w:pPr>
      <w:bookmarkStart w:id="3" w:name="_Toc228355779"/>
      <w:r>
        <w:t>A település demográfiai mutatói, különös tekintettel a 0-18 éves korosztály adataira</w:t>
      </w:r>
      <w:bookmarkEnd w:id="3"/>
    </w:p>
    <w:p w:rsidR="00442B0D" w:rsidRDefault="00442B0D" w:rsidP="00442B0D">
      <w:pPr>
        <w:suppressAutoHyphens w:val="0"/>
        <w:spacing w:after="24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Szigethalom népessége a 2025. január 1. napján a KSH rendelkezésére álló adatok alapján 18 382 fő volt, viszont a lakcímnyilvántartó adatai </w:t>
      </w:r>
      <w:proofErr w:type="gramStart"/>
      <w:r>
        <w:rPr>
          <w:rFonts w:eastAsia="Calibri"/>
          <w:color w:val="auto"/>
          <w:lang w:eastAsia="en-US"/>
        </w:rPr>
        <w:t>szerint …</w:t>
      </w:r>
      <w:proofErr w:type="gramEnd"/>
      <w:r>
        <w:rPr>
          <w:rFonts w:eastAsia="Calibri"/>
          <w:color w:val="auto"/>
          <w:lang w:eastAsia="en-US"/>
        </w:rPr>
        <w:t xml:space="preserve"> fő tartózkodik a településen. A lakosság évről évre kis mértékben növekszik. A kiskorúak száma 2023-ról 2024-re 1,1%-kal – 3892 főről 3849 főre - csökkent. A település lakosságának összetételében jelentős változás a vizsgált időszakban nem történt.</w:t>
      </w:r>
    </w:p>
    <w:p w:rsidR="00442B0D" w:rsidRDefault="00442B0D" w:rsidP="00442B0D">
      <w:pPr>
        <w:suppressAutoHyphens w:val="0"/>
        <w:spacing w:after="120"/>
        <w:jc w:val="center"/>
        <w:rPr>
          <w:rFonts w:eastAsia="Calibri"/>
          <w:color w:val="auto"/>
          <w:lang w:eastAsia="en-US"/>
        </w:rPr>
      </w:pPr>
      <w:r>
        <w:rPr>
          <w:rFonts w:ascii="Calibri" w:eastAsia="Calibri" w:hAnsi="Calibri"/>
          <w:noProof/>
          <w:color w:val="auto"/>
          <w:sz w:val="22"/>
          <w:szCs w:val="22"/>
          <w:lang w:eastAsia="hu-HU"/>
        </w:rPr>
        <w:drawing>
          <wp:inline distT="0" distB="0" distL="0" distR="0">
            <wp:extent cx="5772785" cy="3689350"/>
            <wp:effectExtent l="0" t="0" r="18415" b="6350"/>
            <wp:docPr id="299601000" name="Diagram 299601000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xmlns:lc="http://schemas.openxmlformats.org/drawingml/2006/lockedCanvas" id="{3AF4ACF4-37BD-4D0A-A139-C367C97D13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442B0D" w:rsidRDefault="00442B0D" w:rsidP="00442B0D">
      <w:pPr>
        <w:suppressAutoHyphens w:val="0"/>
        <w:spacing w:after="120"/>
        <w:rPr>
          <w:rFonts w:eastAsia="Calibri"/>
          <w:color w:val="auto"/>
          <w:lang w:eastAsia="en-US"/>
        </w:rPr>
      </w:pPr>
    </w:p>
    <w:p w:rsidR="00442B0D" w:rsidRDefault="00442B0D" w:rsidP="00442B0D">
      <w:pPr>
        <w:pStyle w:val="Cmsor1"/>
      </w:pPr>
      <w:bookmarkStart w:id="4" w:name="_Toc228355780"/>
      <w:r>
        <w:lastRenderedPageBreak/>
        <w:t>Az önkormányzat által nyújtott pénzbeli, természetbeni ellátások biztosítása</w:t>
      </w:r>
      <w:bookmarkEnd w:id="4"/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 Gyvt. 14. § szerint a gyermekek védelme a gyermek családban történő nevelkedésének elősegítésére, veszélyeztetettségének megelőzésére és megszüntetésére, valamint a szülői vagy más hozzátartozói gondoskodásból kikerülő gyermek helyettesítő védelmének biztosítására irányuló tevékenység. A gyermekek védelmét pénzbeli, természetbeni és személyes gondoskodást nyújtó gyermekjóléti alapellátások, illetve gyermekvédelmi szakellátások, valamint e törvényben meghatározott hatósági intézkedések biztosítják. A Gyvt. 5. § k) pontja alapján a települési önkormányzat jegyzője gyámhatóságnak minősül.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 Gyvt. 15. § (1) bekezdése alapján a pénzbeli és természetbeni ellátások az alábbiak:  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proofErr w:type="gramStart"/>
      <w:r>
        <w:rPr>
          <w:rFonts w:eastAsia="Calibri"/>
          <w:color w:val="auto"/>
          <w:lang w:eastAsia="en-US"/>
        </w:rPr>
        <w:t>a</w:t>
      </w:r>
      <w:proofErr w:type="gramEnd"/>
      <w:r>
        <w:rPr>
          <w:rFonts w:eastAsia="Calibri"/>
          <w:color w:val="auto"/>
          <w:lang w:eastAsia="en-US"/>
        </w:rPr>
        <w:t xml:space="preserve">) </w:t>
      </w:r>
      <w:proofErr w:type="spellStart"/>
      <w:r>
        <w:rPr>
          <w:rFonts w:eastAsia="Calibri"/>
          <w:color w:val="auto"/>
          <w:lang w:eastAsia="en-US"/>
        </w:rPr>
        <w:t>a</w:t>
      </w:r>
      <w:proofErr w:type="spellEnd"/>
      <w:r>
        <w:rPr>
          <w:rFonts w:eastAsia="Calibri"/>
          <w:color w:val="auto"/>
          <w:lang w:eastAsia="en-US"/>
        </w:rPr>
        <w:t xml:space="preserve"> rendszeres gyermekvédelmi kedvezmény,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b) a gyermekétkeztetés,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c) a gyermektartásdíj megelőlegezése,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d) az otthonteremtési támogatás.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A Szigethalmi Polgármesteri Hivatalban (a továbbiakban: Hivatal) három fő ügyintéző látja el a jegyző gyámhatósági hatáskörébe tartozó feladatokat, a települési támogatások nyújtásával összefüggő önkormányzati hatósági feladatokat, valamint ugyanezen ügyintézők feladatát képezik a más hatóságoktól, bíróságoktól érkező környezettanulmányok elkészítésére vonatkozó megkeresések teljesítése. Az ügyintézők feladatukat területi megosztás szerint látják el, mindegyik ügyintéző eljár valamennyi ügytípusban. 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A gyámhatósági feladatok ellátáshoz a tárgyi feltételek biztosítottak. A munkavégzéshez valamennyi ügyintéző számára biztosítva van az internetkapcsolattal rendelkező számítógép és internetes jogtárhoz való hozzáférés.  A PTR kötelező alkalmazása mellett a feladat ellátását segíti a Hivatal által előfizetett </w:t>
      </w:r>
      <w:proofErr w:type="spellStart"/>
      <w:r>
        <w:rPr>
          <w:rFonts w:eastAsia="Calibri"/>
          <w:color w:val="auto"/>
          <w:lang w:eastAsia="en-US"/>
        </w:rPr>
        <w:t>WinSzoc</w:t>
      </w:r>
      <w:proofErr w:type="spellEnd"/>
      <w:r>
        <w:rPr>
          <w:rFonts w:eastAsia="Calibri"/>
          <w:color w:val="auto"/>
          <w:lang w:eastAsia="en-US"/>
        </w:rPr>
        <w:t xml:space="preserve"> program. </w:t>
      </w:r>
    </w:p>
    <w:p w:rsidR="00442B0D" w:rsidRDefault="00442B0D" w:rsidP="00442B0D">
      <w:pPr>
        <w:keepNext/>
        <w:keepLines/>
        <w:numPr>
          <w:ilvl w:val="1"/>
          <w:numId w:val="1"/>
        </w:numPr>
        <w:suppressAutoHyphens w:val="0"/>
        <w:spacing w:before="240" w:after="240" w:line="256" w:lineRule="auto"/>
        <w:ind w:left="709" w:hanging="567"/>
        <w:jc w:val="both"/>
        <w:outlineLvl w:val="1"/>
        <w:rPr>
          <w:color w:val="2F5496"/>
          <w:sz w:val="26"/>
          <w:szCs w:val="26"/>
          <w:lang w:eastAsia="en-US"/>
        </w:rPr>
      </w:pPr>
      <w:bookmarkStart w:id="5" w:name="_Toc228355781"/>
      <w:r>
        <w:rPr>
          <w:color w:val="2F5496"/>
          <w:sz w:val="26"/>
          <w:szCs w:val="26"/>
          <w:lang w:eastAsia="en-US"/>
        </w:rPr>
        <w:t>A rendszeres gyermekvédelmi kedvezményben részesülők száma, kérelmezőkre vonatkozó általánosítható adatok, elutasítások száma, főbb okai, önkormányzatot terhelő kiadás nagysága</w:t>
      </w:r>
      <w:bookmarkEnd w:id="5"/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 Gyvt. 18. § (1) bekezdésének a) pontja alapján a jogosult gyermek számára a gyámhatóság az e törvényben meghatározott feltételek szerint rendszeres gyermekvédelmi kedvezményre való jogosultságot állapít meg. Ugyanezen jogszabály 19. § (1) bekezdése értelmében a rendszeres gyermekvédelmi kedvezményre való jogosultság megállapításának célja annak igazolása, hogy a gyermek szociális helyzete alapján jogosult az ingyenes vagy kedvezményes intézményi gyermekétkeztetés és a szünidei gyermekétkeztetés, alapösszegű vagy emelt összegű pénzbeli támogatás, kiegészítő pénzbeli ellátás, valamint egyéb kedvezmények igénybevételére.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A Gyvt. 19. § (2) bekezdés alapján rendszeres gyermekvédelmi kedvezményre akkor jogosult a gyermek, amennyiben a gyermeket gondozó családban az egy főre jutó havi jövedelem összege nem haladja meg </w:t>
      </w:r>
    </w:p>
    <w:p w:rsidR="00442B0D" w:rsidRDefault="00442B0D" w:rsidP="00442B0D">
      <w:pPr>
        <w:numPr>
          <w:ilvl w:val="0"/>
          <w:numId w:val="4"/>
        </w:numPr>
        <w:suppressAutoHyphens w:val="0"/>
        <w:spacing w:after="120" w:line="256" w:lineRule="auto"/>
        <w:ind w:left="714" w:hanging="357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 szociális vetítési alap összegének 165%-át (47.025Ft/fő), vagy</w:t>
      </w:r>
    </w:p>
    <w:p w:rsidR="00442B0D" w:rsidRDefault="00442B0D" w:rsidP="00442B0D">
      <w:pPr>
        <w:numPr>
          <w:ilvl w:val="0"/>
          <w:numId w:val="4"/>
        </w:numPr>
        <w:suppressAutoHyphens w:val="0"/>
        <w:spacing w:after="120" w:line="256" w:lineRule="auto"/>
        <w:contextualSpacing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a szociális vetítési alap összegének a 180%-át (51.300Ft/fő), ha </w:t>
      </w:r>
    </w:p>
    <w:p w:rsidR="00442B0D" w:rsidRDefault="00442B0D" w:rsidP="00442B0D">
      <w:pPr>
        <w:numPr>
          <w:ilvl w:val="1"/>
          <w:numId w:val="4"/>
        </w:numPr>
        <w:suppressAutoHyphens w:val="0"/>
        <w:spacing w:after="120" w:line="256" w:lineRule="auto"/>
        <w:contextualSpacing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 gyermeket egyedülálló szülő vagy más törvényes képviselő gondozza, vagy</w:t>
      </w:r>
    </w:p>
    <w:p w:rsidR="00442B0D" w:rsidRDefault="00442B0D" w:rsidP="00442B0D">
      <w:pPr>
        <w:numPr>
          <w:ilvl w:val="1"/>
          <w:numId w:val="4"/>
        </w:numPr>
        <w:suppressAutoHyphens w:val="0"/>
        <w:spacing w:after="120" w:line="256" w:lineRule="auto"/>
        <w:contextualSpacing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 gyermek tartósan beteg, illetve súlyosan fogyatékos, vagy</w:t>
      </w:r>
    </w:p>
    <w:p w:rsidR="00442B0D" w:rsidRDefault="00442B0D" w:rsidP="00442B0D">
      <w:pPr>
        <w:numPr>
          <w:ilvl w:val="1"/>
          <w:numId w:val="4"/>
        </w:numPr>
        <w:suppressAutoHyphens w:val="0"/>
        <w:spacing w:after="120" w:line="256" w:lineRule="auto"/>
        <w:contextualSpacing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lastRenderedPageBreak/>
        <w:t>a nagykorúvá vált gyermek nappali oktatás munkarendje szerint tanulmányokat folytat és 23. életévét még nem töltötte be, vagy felsőfokú oktatási intézmény nappali tagozatán tanul és a 25. életévét még nem töltötte be, és a nagykorúvá válását megelőző második hónap első napja, valamint a nagykorúvá válását megelőző nap közötti időszakban legalább egy napig rendszeres gyermekvédelmi kedvezményre volt jogosult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proofErr w:type="gramStart"/>
      <w:r>
        <w:rPr>
          <w:rFonts w:eastAsia="Calibri"/>
          <w:color w:val="auto"/>
          <w:lang w:eastAsia="en-US"/>
        </w:rPr>
        <w:t>feltéve</w:t>
      </w:r>
      <w:proofErr w:type="gramEnd"/>
      <w:r>
        <w:rPr>
          <w:rFonts w:eastAsia="Calibri"/>
          <w:color w:val="auto"/>
          <w:lang w:eastAsia="en-US"/>
        </w:rPr>
        <w:t xml:space="preserve">, hogy a vagyoni helyzet vizsgálata során az egy főre jutó vagyon értéke nem haladja meg a </w:t>
      </w:r>
      <w:proofErr w:type="spellStart"/>
      <w:r>
        <w:rPr>
          <w:rFonts w:eastAsia="Calibri"/>
          <w:color w:val="auto"/>
          <w:lang w:eastAsia="en-US"/>
        </w:rPr>
        <w:t>Gyvt-ben</w:t>
      </w:r>
      <w:proofErr w:type="spellEnd"/>
      <w:r>
        <w:rPr>
          <w:rFonts w:eastAsia="Calibri"/>
          <w:color w:val="auto"/>
          <w:lang w:eastAsia="en-US"/>
        </w:rPr>
        <w:t xml:space="preserve"> meghatározott értéket.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 Gyvt. 15. § (4) bekezdésének a) pontja szerint a gyermekvédelmi gondoskodás keretébe tartozó hatósági intézkedések a hátrányos és halmozottan hátrányos helyzet fennállásának megállapítása.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 gyermekvédelmi és gyámügyi feladat- és hatáskörök ellátásáról, valamint a gyámhatóság szervezetéről és illetékességéről szóló 331/2006. (XII. 23.) Korm. rendelet 3. § (1) bekezdésének g) és i) pontjai alapján a települési önkormányzat jegyzője megállapítja a gyermek rendszeres gyermekvédelmi kedvezményre való jogosultságát, továbbá megállapítja a rendszeres gyermekvédelmi kedvezményre jogosult gyermek, nagykorúvá vált gyermek hátrányos és halmozottan hátrányos helyzetének fennállását.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 rendszeres gyermekvédelmi támogatásra jogosult személy a 2025. év elején 60 főről a 2025. év végére 23 főre csökkent.</w:t>
      </w:r>
    </w:p>
    <w:p w:rsidR="00442B0D" w:rsidRDefault="00442B0D" w:rsidP="00442B0D">
      <w:pPr>
        <w:suppressAutoHyphens w:val="0"/>
        <w:spacing w:before="240" w:after="120"/>
        <w:jc w:val="center"/>
        <w:rPr>
          <w:rFonts w:eastAsia="Calibri"/>
          <w:bCs/>
          <w:color w:val="auto"/>
          <w:sz w:val="20"/>
          <w:szCs w:val="20"/>
          <w:lang w:eastAsia="en-US"/>
        </w:rPr>
      </w:pPr>
      <w:r>
        <w:rPr>
          <w:rFonts w:eastAsia="Calibri"/>
          <w:bCs/>
          <w:color w:val="auto"/>
          <w:sz w:val="20"/>
          <w:szCs w:val="20"/>
          <w:lang w:eastAsia="en-US"/>
        </w:rPr>
        <w:t>Rendszeres gyermekvédelmi kedvezmény – ellátottak számának változása</w:t>
      </w:r>
    </w:p>
    <w:p w:rsidR="00442B0D" w:rsidRDefault="00442B0D" w:rsidP="00442B0D">
      <w:pPr>
        <w:suppressAutoHyphens w:val="0"/>
        <w:spacing w:before="120"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noProof/>
          <w:color w:val="auto"/>
          <w:lang w:eastAsia="hu-HU"/>
        </w:rPr>
        <w:drawing>
          <wp:inline distT="0" distB="0" distL="0" distR="0">
            <wp:extent cx="5756910" cy="1677670"/>
            <wp:effectExtent l="0" t="0" r="0" b="0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167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B0D" w:rsidRDefault="00442B0D" w:rsidP="00442B0D">
      <w:pPr>
        <w:suppressAutoHyphens w:val="0"/>
        <w:spacing w:before="120" w:after="120"/>
        <w:jc w:val="both"/>
        <w:rPr>
          <w:rFonts w:eastAsia="Calibri"/>
          <w:color w:val="auto"/>
          <w:sz w:val="20"/>
          <w:szCs w:val="20"/>
          <w:lang w:eastAsia="en-US"/>
        </w:rPr>
      </w:pPr>
      <w:r>
        <w:rPr>
          <w:rFonts w:eastAsia="Calibri"/>
          <w:color w:val="auto"/>
          <w:sz w:val="20"/>
          <w:szCs w:val="20"/>
          <w:lang w:eastAsia="en-US"/>
        </w:rPr>
        <w:t>(forrás: KSH 1206)</w:t>
      </w:r>
    </w:p>
    <w:p w:rsidR="00442B0D" w:rsidRDefault="00442B0D" w:rsidP="00442B0D">
      <w:pPr>
        <w:suppressAutoHyphens w:val="0"/>
        <w:spacing w:before="240"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 2025-ös tárgyévben 23 fő vált jogosulttá a rendszeres gyermekvédelmi kedvezményre (a továbbiakban: RGYVK) és átlagosan 40 fő részesült pénzbeli támogatásban összesen és kerekítve 513 000Ft összegben.</w:t>
      </w:r>
    </w:p>
    <w:p w:rsidR="00442B0D" w:rsidRDefault="00442B0D" w:rsidP="00442B0D">
      <w:pPr>
        <w:suppressAutoHyphens w:val="0"/>
        <w:spacing w:before="240" w:after="120"/>
        <w:jc w:val="center"/>
        <w:rPr>
          <w:rFonts w:eastAsia="Calibri"/>
          <w:color w:val="auto"/>
          <w:sz w:val="20"/>
          <w:szCs w:val="20"/>
          <w:lang w:eastAsia="en-US"/>
        </w:rPr>
      </w:pPr>
      <w:r>
        <w:rPr>
          <w:rFonts w:eastAsia="Calibri"/>
          <w:color w:val="auto"/>
          <w:sz w:val="20"/>
          <w:szCs w:val="20"/>
          <w:lang w:eastAsia="en-US"/>
        </w:rPr>
        <w:t>Rendszeres gyermekvédelmi kedvezmény tárgyévi adatai</w:t>
      </w:r>
    </w:p>
    <w:p w:rsidR="00442B0D" w:rsidRDefault="00442B0D" w:rsidP="00442B0D">
      <w:pPr>
        <w:suppressAutoHyphens w:val="0"/>
        <w:spacing w:before="120"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noProof/>
          <w:color w:val="auto"/>
          <w:lang w:eastAsia="hu-HU"/>
        </w:rPr>
        <w:lastRenderedPageBreak/>
        <w:drawing>
          <wp:inline distT="0" distB="0" distL="0" distR="0">
            <wp:extent cx="5764530" cy="2504440"/>
            <wp:effectExtent l="0" t="0" r="7620" b="0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250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B0D" w:rsidRDefault="00442B0D" w:rsidP="00442B0D">
      <w:pPr>
        <w:suppressAutoHyphens w:val="0"/>
        <w:spacing w:before="240" w:after="120"/>
        <w:jc w:val="both"/>
        <w:rPr>
          <w:rFonts w:eastAsia="Calibri"/>
          <w:color w:val="auto"/>
          <w:sz w:val="20"/>
          <w:szCs w:val="20"/>
          <w:lang w:eastAsia="en-US"/>
        </w:rPr>
      </w:pPr>
      <w:r>
        <w:rPr>
          <w:rFonts w:eastAsia="Calibri"/>
          <w:color w:val="auto"/>
          <w:sz w:val="20"/>
          <w:szCs w:val="20"/>
          <w:lang w:eastAsia="en-US"/>
        </w:rPr>
        <w:t>(forrás: KSH 1206)</w:t>
      </w:r>
    </w:p>
    <w:p w:rsidR="00442B0D" w:rsidRDefault="00442B0D" w:rsidP="00442B0D">
      <w:pPr>
        <w:suppressAutoHyphens w:val="0"/>
        <w:spacing w:before="240"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Az </w:t>
      </w:r>
      <w:proofErr w:type="spellStart"/>
      <w:r>
        <w:rPr>
          <w:rFonts w:eastAsia="Calibri"/>
          <w:color w:val="auto"/>
          <w:lang w:eastAsia="en-US"/>
        </w:rPr>
        <w:t>RGYVK-re</w:t>
      </w:r>
      <w:proofErr w:type="spellEnd"/>
      <w:r>
        <w:rPr>
          <w:rFonts w:eastAsia="Calibri"/>
          <w:color w:val="auto"/>
          <w:lang w:eastAsia="en-US"/>
        </w:rPr>
        <w:t xml:space="preserve"> jogosult 23 gyermekből 17 fő a 6-13 éves korosztályból került ki, tehát általános </w:t>
      </w:r>
      <w:proofErr w:type="gramStart"/>
      <w:r>
        <w:rPr>
          <w:rFonts w:eastAsia="Calibri"/>
          <w:color w:val="auto"/>
          <w:lang w:eastAsia="en-US"/>
        </w:rPr>
        <w:t>iskolás korú</w:t>
      </w:r>
      <w:proofErr w:type="gramEnd"/>
      <w:r>
        <w:rPr>
          <w:rFonts w:eastAsia="Calibri"/>
          <w:color w:val="auto"/>
          <w:lang w:eastAsia="en-US"/>
        </w:rPr>
        <w:t>. Összesen egy tartósan beteg és egy fogyatékos gyermek számára került RGYVK megállapításra.</w:t>
      </w:r>
    </w:p>
    <w:p w:rsidR="00442B0D" w:rsidRDefault="00442B0D" w:rsidP="00442B0D">
      <w:pPr>
        <w:suppressAutoHyphens w:val="0"/>
        <w:spacing w:before="240"/>
        <w:jc w:val="center"/>
        <w:rPr>
          <w:rFonts w:eastAsia="Calibri"/>
          <w:color w:val="auto"/>
          <w:sz w:val="20"/>
          <w:szCs w:val="20"/>
          <w:lang w:eastAsia="en-US"/>
        </w:rPr>
      </w:pPr>
      <w:r>
        <w:rPr>
          <w:rFonts w:eastAsia="Calibri"/>
          <w:color w:val="auto"/>
          <w:sz w:val="20"/>
          <w:szCs w:val="20"/>
          <w:lang w:eastAsia="en-US"/>
        </w:rPr>
        <w:t xml:space="preserve">Tárgyév december 31-én rendszeres gyermekvédelmi kedvezményre </w:t>
      </w:r>
    </w:p>
    <w:p w:rsidR="00442B0D" w:rsidRDefault="00442B0D" w:rsidP="00442B0D">
      <w:pPr>
        <w:suppressAutoHyphens w:val="0"/>
        <w:jc w:val="center"/>
        <w:rPr>
          <w:rFonts w:eastAsia="Calibri"/>
          <w:color w:val="auto"/>
          <w:sz w:val="20"/>
          <w:szCs w:val="20"/>
          <w:lang w:eastAsia="en-US"/>
        </w:rPr>
      </w:pPr>
      <w:proofErr w:type="gramStart"/>
      <w:r>
        <w:rPr>
          <w:rFonts w:eastAsia="Calibri"/>
          <w:color w:val="auto"/>
          <w:sz w:val="20"/>
          <w:szCs w:val="20"/>
          <w:lang w:eastAsia="en-US"/>
        </w:rPr>
        <w:t>jogosult</w:t>
      </w:r>
      <w:proofErr w:type="gramEnd"/>
      <w:r>
        <w:rPr>
          <w:rFonts w:eastAsia="Calibri"/>
          <w:color w:val="auto"/>
          <w:sz w:val="20"/>
          <w:szCs w:val="20"/>
          <w:lang w:eastAsia="en-US"/>
        </w:rPr>
        <w:t xml:space="preserve"> gyermekek száma életkor szerint</w:t>
      </w:r>
    </w:p>
    <w:p w:rsidR="00442B0D" w:rsidRDefault="00442B0D" w:rsidP="00442B0D">
      <w:pPr>
        <w:suppressAutoHyphens w:val="0"/>
        <w:spacing w:before="240" w:after="120"/>
        <w:jc w:val="center"/>
        <w:rPr>
          <w:rFonts w:eastAsia="Calibri"/>
          <w:color w:val="auto"/>
          <w:lang w:eastAsia="en-US"/>
        </w:rPr>
      </w:pPr>
      <w:r>
        <w:rPr>
          <w:rFonts w:eastAsia="Calibri"/>
          <w:noProof/>
          <w:color w:val="auto"/>
          <w:lang w:eastAsia="hu-HU"/>
        </w:rPr>
        <w:drawing>
          <wp:inline distT="0" distB="0" distL="0" distR="0">
            <wp:extent cx="5764530" cy="1741170"/>
            <wp:effectExtent l="0" t="0" r="7620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174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B0D" w:rsidRDefault="00442B0D" w:rsidP="00442B0D">
      <w:pPr>
        <w:suppressAutoHyphens w:val="0"/>
        <w:spacing w:before="240" w:after="120"/>
        <w:jc w:val="both"/>
        <w:rPr>
          <w:rFonts w:eastAsia="Calibri"/>
          <w:color w:val="auto"/>
          <w:sz w:val="20"/>
          <w:szCs w:val="20"/>
          <w:lang w:eastAsia="en-US"/>
        </w:rPr>
      </w:pPr>
      <w:r>
        <w:rPr>
          <w:rFonts w:eastAsia="Calibri"/>
          <w:color w:val="auto"/>
          <w:sz w:val="20"/>
          <w:szCs w:val="20"/>
          <w:lang w:eastAsia="en-US"/>
        </w:rPr>
        <w:t>(forrás: KSH 1206)</w:t>
      </w:r>
    </w:p>
    <w:p w:rsidR="00442B0D" w:rsidRDefault="00442B0D" w:rsidP="00442B0D">
      <w:pPr>
        <w:suppressAutoHyphens w:val="0"/>
        <w:spacing w:before="24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A 2025-ös tárgyév végén összesen 11 család volt jogosult az </w:t>
      </w:r>
      <w:proofErr w:type="spellStart"/>
      <w:r>
        <w:rPr>
          <w:rFonts w:eastAsia="Calibri"/>
          <w:color w:val="auto"/>
          <w:lang w:eastAsia="en-US"/>
        </w:rPr>
        <w:t>RGYVK-re</w:t>
      </w:r>
      <w:proofErr w:type="spellEnd"/>
      <w:r>
        <w:rPr>
          <w:rFonts w:eastAsia="Calibri"/>
          <w:color w:val="auto"/>
          <w:lang w:eastAsia="en-US"/>
        </w:rPr>
        <w:t>. A támogatott családok többségében 1 vagy 2 gyermeket nevelnek.</w:t>
      </w:r>
    </w:p>
    <w:p w:rsidR="00442B0D" w:rsidRDefault="00442B0D" w:rsidP="00442B0D">
      <w:pPr>
        <w:suppressAutoHyphens w:val="0"/>
        <w:spacing w:before="240"/>
        <w:jc w:val="center"/>
        <w:rPr>
          <w:rFonts w:eastAsia="Calibri"/>
          <w:color w:val="auto"/>
          <w:sz w:val="20"/>
          <w:szCs w:val="20"/>
          <w:lang w:eastAsia="en-US"/>
        </w:rPr>
      </w:pPr>
      <w:r>
        <w:rPr>
          <w:rFonts w:eastAsia="Calibri"/>
          <w:color w:val="auto"/>
          <w:sz w:val="20"/>
          <w:szCs w:val="20"/>
          <w:lang w:eastAsia="en-US"/>
        </w:rPr>
        <w:t>Tárgyév december 31-én RGYVK</w:t>
      </w:r>
    </w:p>
    <w:p w:rsidR="00442B0D" w:rsidRDefault="00442B0D" w:rsidP="00442B0D">
      <w:pPr>
        <w:suppressAutoHyphens w:val="0"/>
        <w:spacing w:after="120"/>
        <w:jc w:val="center"/>
        <w:rPr>
          <w:rFonts w:eastAsia="Calibri"/>
          <w:color w:val="auto"/>
          <w:sz w:val="20"/>
          <w:szCs w:val="20"/>
          <w:lang w:eastAsia="en-US"/>
        </w:rPr>
      </w:pPr>
      <w:proofErr w:type="gramStart"/>
      <w:r>
        <w:rPr>
          <w:rFonts w:eastAsia="Calibri"/>
          <w:color w:val="auto"/>
          <w:sz w:val="20"/>
          <w:szCs w:val="20"/>
          <w:lang w:eastAsia="en-US"/>
        </w:rPr>
        <w:t>jogosult</w:t>
      </w:r>
      <w:proofErr w:type="gramEnd"/>
      <w:r>
        <w:rPr>
          <w:rFonts w:eastAsia="Calibri"/>
          <w:color w:val="auto"/>
          <w:sz w:val="20"/>
          <w:szCs w:val="20"/>
          <w:lang w:eastAsia="en-US"/>
        </w:rPr>
        <w:t xml:space="preserve"> családok száma a gyermekek száma szerint</w:t>
      </w:r>
    </w:p>
    <w:p w:rsidR="00442B0D" w:rsidRDefault="00442B0D" w:rsidP="00442B0D">
      <w:pPr>
        <w:suppressAutoHyphens w:val="0"/>
        <w:spacing w:before="240"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noProof/>
          <w:color w:val="auto"/>
          <w:lang w:eastAsia="hu-HU"/>
        </w:rPr>
        <w:lastRenderedPageBreak/>
        <w:drawing>
          <wp:inline distT="0" distB="0" distL="0" distR="0">
            <wp:extent cx="5756910" cy="1876425"/>
            <wp:effectExtent l="0" t="0" r="0" b="9525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B0D" w:rsidRDefault="00442B0D" w:rsidP="00442B0D">
      <w:pPr>
        <w:suppressAutoHyphens w:val="0"/>
        <w:spacing w:before="240" w:after="120"/>
        <w:jc w:val="both"/>
        <w:rPr>
          <w:rFonts w:eastAsia="Calibri"/>
          <w:color w:val="auto"/>
          <w:sz w:val="20"/>
          <w:szCs w:val="20"/>
          <w:lang w:eastAsia="en-US"/>
        </w:rPr>
      </w:pPr>
      <w:r>
        <w:rPr>
          <w:rFonts w:eastAsia="Calibri"/>
          <w:color w:val="auto"/>
          <w:sz w:val="20"/>
          <w:szCs w:val="20"/>
          <w:lang w:eastAsia="en-US"/>
        </w:rPr>
        <w:t>(forrás: KSH 1206)</w:t>
      </w:r>
    </w:p>
    <w:p w:rsidR="00442B0D" w:rsidRDefault="00442B0D" w:rsidP="00442B0D">
      <w:pPr>
        <w:suppressAutoHyphens w:val="0"/>
        <w:spacing w:before="240"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 23 fő RGYVK jogosult gyermekek családjai közül négyben az egy főre jutó jövedelem nem éri el a szociális vetítési alap összegét, azaz a 28 500Ft-ot. 19 család esetében az egy főre jutó jövedelem 28 500Ft és 64 125Ft közé esik.</w:t>
      </w:r>
    </w:p>
    <w:p w:rsidR="00442B0D" w:rsidRDefault="00442B0D" w:rsidP="00442B0D">
      <w:pPr>
        <w:suppressAutoHyphens w:val="0"/>
        <w:spacing w:before="240"/>
        <w:jc w:val="center"/>
        <w:rPr>
          <w:rFonts w:eastAsia="Calibri"/>
          <w:color w:val="auto"/>
          <w:sz w:val="20"/>
          <w:szCs w:val="20"/>
          <w:lang w:eastAsia="en-US"/>
        </w:rPr>
      </w:pPr>
      <w:r>
        <w:rPr>
          <w:rFonts w:eastAsia="Calibri"/>
          <w:color w:val="auto"/>
          <w:sz w:val="20"/>
          <w:szCs w:val="20"/>
          <w:lang w:eastAsia="en-US"/>
        </w:rPr>
        <w:t>Tárgyév december 31-én RGYVK jogosult gyermekek</w:t>
      </w:r>
    </w:p>
    <w:p w:rsidR="00442B0D" w:rsidRDefault="00442B0D" w:rsidP="00442B0D">
      <w:pPr>
        <w:suppressAutoHyphens w:val="0"/>
        <w:spacing w:after="120"/>
        <w:jc w:val="center"/>
        <w:rPr>
          <w:rFonts w:eastAsia="Calibri"/>
          <w:color w:val="auto"/>
          <w:sz w:val="20"/>
          <w:szCs w:val="20"/>
          <w:lang w:eastAsia="en-US"/>
        </w:rPr>
      </w:pPr>
      <w:proofErr w:type="gramStart"/>
      <w:r>
        <w:rPr>
          <w:rFonts w:eastAsia="Calibri"/>
          <w:color w:val="auto"/>
          <w:sz w:val="20"/>
          <w:szCs w:val="20"/>
          <w:lang w:eastAsia="en-US"/>
        </w:rPr>
        <w:t>száma</w:t>
      </w:r>
      <w:proofErr w:type="gramEnd"/>
      <w:r>
        <w:rPr>
          <w:rFonts w:eastAsia="Calibri"/>
          <w:color w:val="auto"/>
          <w:sz w:val="20"/>
          <w:szCs w:val="20"/>
          <w:lang w:eastAsia="en-US"/>
        </w:rPr>
        <w:t xml:space="preserve"> az egy főre jutó családi jövedelem szerint a jogosultság megállapításakor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noProof/>
          <w:color w:val="auto"/>
          <w:lang w:eastAsia="hu-HU"/>
        </w:rPr>
        <w:drawing>
          <wp:inline distT="0" distB="0" distL="0" distR="0">
            <wp:extent cx="5764530" cy="2504440"/>
            <wp:effectExtent l="0" t="0" r="762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6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250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B0D" w:rsidRDefault="00442B0D" w:rsidP="00442B0D">
      <w:pPr>
        <w:suppressAutoHyphens w:val="0"/>
        <w:spacing w:after="120"/>
        <w:rPr>
          <w:rFonts w:eastAsia="Calibri"/>
          <w:color w:val="auto"/>
          <w:sz w:val="20"/>
          <w:szCs w:val="20"/>
          <w:lang w:eastAsia="en-US"/>
        </w:rPr>
      </w:pPr>
      <w:r>
        <w:rPr>
          <w:rFonts w:eastAsia="Calibri"/>
          <w:color w:val="auto"/>
          <w:sz w:val="20"/>
          <w:szCs w:val="20"/>
          <w:lang w:eastAsia="en-US"/>
        </w:rPr>
        <w:t>(forrás: KSH 1206)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 tárgyévben nyilvántartásba vett 23 fő RGYVK jogosult gyermekből a jegyző gyámhatósági feladatkörében 18 gyermek esetében a hátrányos helyzet fennállását is megállapította. A gyámhivatal (a vármegyei kormányhivatal) 8 gyermek halmozottan hátrányos helyzetét állapította meg hivatalból és egyúttal vette őket nevelésbe.</w:t>
      </w:r>
    </w:p>
    <w:p w:rsidR="00442B0D" w:rsidRDefault="00442B0D" w:rsidP="00442B0D">
      <w:pPr>
        <w:suppressAutoHyphens w:val="0"/>
        <w:rPr>
          <w:rFonts w:eastAsia="Calibri"/>
          <w:color w:val="auto"/>
          <w:sz w:val="20"/>
          <w:szCs w:val="20"/>
          <w:lang w:eastAsia="en-US"/>
        </w:rPr>
      </w:pPr>
    </w:p>
    <w:p w:rsidR="00442B0D" w:rsidRDefault="00442B0D" w:rsidP="00442B0D">
      <w:pPr>
        <w:suppressAutoHyphens w:val="0"/>
        <w:jc w:val="center"/>
        <w:rPr>
          <w:rFonts w:eastAsia="Calibri"/>
          <w:color w:val="auto"/>
          <w:sz w:val="20"/>
          <w:szCs w:val="20"/>
          <w:lang w:eastAsia="en-US"/>
        </w:rPr>
      </w:pPr>
      <w:r>
        <w:rPr>
          <w:rFonts w:eastAsia="Calibri"/>
          <w:color w:val="auto"/>
          <w:sz w:val="20"/>
          <w:szCs w:val="20"/>
          <w:lang w:eastAsia="en-US"/>
        </w:rPr>
        <w:t xml:space="preserve">A megállapított hátrányos és halmozottan hátrányos helyzetű </w:t>
      </w:r>
    </w:p>
    <w:p w:rsidR="00442B0D" w:rsidRDefault="00442B0D" w:rsidP="00442B0D">
      <w:pPr>
        <w:suppressAutoHyphens w:val="0"/>
        <w:spacing w:after="120"/>
        <w:jc w:val="center"/>
        <w:rPr>
          <w:rFonts w:eastAsia="Calibri"/>
          <w:color w:val="auto"/>
          <w:sz w:val="20"/>
          <w:szCs w:val="20"/>
          <w:lang w:eastAsia="en-US"/>
        </w:rPr>
      </w:pPr>
      <w:proofErr w:type="gramStart"/>
      <w:r>
        <w:rPr>
          <w:rFonts w:eastAsia="Calibri"/>
          <w:color w:val="auto"/>
          <w:sz w:val="20"/>
          <w:szCs w:val="20"/>
          <w:lang w:eastAsia="en-US"/>
        </w:rPr>
        <w:t>gyermekek</w:t>
      </w:r>
      <w:proofErr w:type="gramEnd"/>
      <w:r>
        <w:rPr>
          <w:rFonts w:eastAsia="Calibri"/>
          <w:color w:val="auto"/>
          <w:sz w:val="20"/>
          <w:szCs w:val="20"/>
          <w:lang w:eastAsia="en-US"/>
        </w:rPr>
        <w:t xml:space="preserve"> és nagykorúvá vált gyermekek adatai</w:t>
      </w:r>
    </w:p>
    <w:tbl>
      <w:tblPr>
        <w:tblW w:w="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429"/>
        <w:gridCol w:w="1469"/>
        <w:gridCol w:w="1143"/>
        <w:gridCol w:w="784"/>
        <w:gridCol w:w="806"/>
        <w:gridCol w:w="807"/>
        <w:gridCol w:w="769"/>
        <w:gridCol w:w="992"/>
        <w:gridCol w:w="1417"/>
      </w:tblGrid>
      <w:tr w:rsidR="00442B0D" w:rsidTr="00442B0D">
        <w:trPr>
          <w:trHeight w:val="315"/>
        </w:trPr>
        <w:tc>
          <w:tcPr>
            <w:tcW w:w="23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Megnevezés</w:t>
            </w:r>
          </w:p>
        </w:tc>
        <w:tc>
          <w:tcPr>
            <w:tcW w:w="11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both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Tárgyévben nyilvántartásba vett (fő)</w:t>
            </w:r>
          </w:p>
        </w:tc>
        <w:tc>
          <w:tcPr>
            <w:tcW w:w="415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both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December 31-én nyilvántartottból korcsoport szerint (fő)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both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December 31-én nyilvántartott (fő)</w:t>
            </w:r>
          </w:p>
        </w:tc>
      </w:tr>
      <w:tr w:rsidR="00442B0D" w:rsidTr="00442B0D">
        <w:trPr>
          <w:trHeight w:val="600"/>
        </w:trPr>
        <w:tc>
          <w:tcPr>
            <w:tcW w:w="571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rPr>
                <w:rFonts w:ascii="Calibri" w:hAnsi="Calibri" w:cs="Calibri"/>
                <w:sz w:val="16"/>
                <w:szCs w:val="16"/>
                <w:lang w:eastAsia="hu-HU"/>
              </w:rPr>
            </w:pPr>
          </w:p>
        </w:tc>
        <w:tc>
          <w:tcPr>
            <w:tcW w:w="11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rPr>
                <w:rFonts w:ascii="Calibri" w:hAnsi="Calibri" w:cs="Calibri"/>
                <w:sz w:val="16"/>
                <w:szCs w:val="16"/>
                <w:lang w:eastAsia="hu-H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0-2 éves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3-5 éves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6-13 éves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14-17 éves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18 éves és idősebb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rPr>
                <w:rFonts w:ascii="Calibri" w:hAnsi="Calibri" w:cs="Calibri"/>
                <w:sz w:val="16"/>
                <w:szCs w:val="16"/>
                <w:lang w:eastAsia="hu-HU"/>
              </w:rPr>
            </w:pPr>
          </w:p>
        </w:tc>
      </w:tr>
      <w:tr w:rsidR="00442B0D" w:rsidTr="00442B0D">
        <w:trPr>
          <w:trHeight w:val="990"/>
        </w:trPr>
        <w:tc>
          <w:tcPr>
            <w:tcW w:w="2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Rendszeres gyermekvédelmi kedvezményben részesülő gyermekek és nagykorú gyermekek száma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23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17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23</w:t>
            </w:r>
          </w:p>
        </w:tc>
      </w:tr>
      <w:tr w:rsidR="00442B0D" w:rsidTr="00442B0D">
        <w:trPr>
          <w:trHeight w:val="570"/>
        </w:trPr>
        <w:tc>
          <w:tcPr>
            <w:tcW w:w="4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both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lastRenderedPageBreak/>
              <w:t> </w:t>
            </w:r>
          </w:p>
        </w:tc>
        <w:tc>
          <w:tcPr>
            <w:tcW w:w="18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Megállapított hátrányos helyzetűek száma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18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25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41</w:t>
            </w:r>
          </w:p>
        </w:tc>
      </w:tr>
      <w:tr w:rsidR="00442B0D" w:rsidTr="00442B0D">
        <w:trPr>
          <w:trHeight w:val="915"/>
        </w:trPr>
        <w:tc>
          <w:tcPr>
            <w:tcW w:w="4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both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both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proofErr w:type="gramStart"/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Szülő(</w:t>
            </w:r>
            <w:proofErr w:type="gramEnd"/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k), családba fogadó gyám alacsony iskolai végzettsége miatt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18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13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18</w:t>
            </w:r>
          </w:p>
        </w:tc>
      </w:tr>
      <w:tr w:rsidR="00442B0D" w:rsidTr="00442B0D">
        <w:trPr>
          <w:trHeight w:val="780"/>
        </w:trPr>
        <w:tc>
          <w:tcPr>
            <w:tcW w:w="4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both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18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Megállapított halmozottan hátrányos helyzetűek száma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</w:tr>
      <w:tr w:rsidR="00442B0D" w:rsidTr="00442B0D">
        <w:trPr>
          <w:trHeight w:val="1680"/>
        </w:trPr>
        <w:tc>
          <w:tcPr>
            <w:tcW w:w="4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both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both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proofErr w:type="gramStart"/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Szülő(</w:t>
            </w:r>
            <w:proofErr w:type="gramEnd"/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k), családba fogadó gyám alacsony iskolai végzettsége és alacsony foglalkoztatottsága miatt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</w:tr>
      <w:tr w:rsidR="00442B0D" w:rsidTr="00442B0D">
        <w:trPr>
          <w:trHeight w:val="1680"/>
        </w:trPr>
        <w:tc>
          <w:tcPr>
            <w:tcW w:w="4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/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both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18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 xml:space="preserve">A gyámhivatal által hivatalból megállapított halmozottan hátrányos helyzetű nevelésbe vett </w:t>
            </w:r>
            <w:proofErr w:type="spellStart"/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germekek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6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8</w:t>
            </w:r>
          </w:p>
        </w:tc>
      </w:tr>
      <w:tr w:rsidR="00442B0D" w:rsidTr="00442B0D">
        <w:trPr>
          <w:trHeight w:val="675"/>
        </w:trPr>
        <w:tc>
          <w:tcPr>
            <w:tcW w:w="2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both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Családok száma, amelyekben a hátrányos helyzetű gyermekek élnek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10</w:t>
            </w:r>
          </w:p>
        </w:tc>
      </w:tr>
      <w:tr w:rsidR="00442B0D" w:rsidTr="00442B0D">
        <w:trPr>
          <w:trHeight w:val="705"/>
        </w:trPr>
        <w:tc>
          <w:tcPr>
            <w:tcW w:w="2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both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Családok száma, amelyekben a halmozottan hátrányos helyzetű gyermekek élnek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rFonts w:ascii="Calibri" w:hAnsi="Calibri" w:cs="Calibri"/>
                <w:sz w:val="16"/>
                <w:szCs w:val="16"/>
                <w:lang w:eastAsia="hu-HU"/>
              </w:rPr>
            </w:pPr>
            <w:r>
              <w:rPr>
                <w:rFonts w:ascii="Calibri" w:hAnsi="Calibri" w:cs="Calibri"/>
                <w:sz w:val="16"/>
                <w:szCs w:val="16"/>
                <w:lang w:eastAsia="hu-HU"/>
              </w:rPr>
              <w:t>0</w:t>
            </w:r>
          </w:p>
        </w:tc>
      </w:tr>
    </w:tbl>
    <w:p w:rsidR="00442B0D" w:rsidRDefault="00442B0D" w:rsidP="00442B0D">
      <w:pPr>
        <w:suppressAutoHyphens w:val="0"/>
        <w:spacing w:after="120"/>
        <w:rPr>
          <w:rFonts w:eastAsia="Calibri"/>
          <w:color w:val="auto"/>
          <w:sz w:val="20"/>
          <w:szCs w:val="20"/>
          <w:lang w:eastAsia="en-US"/>
        </w:rPr>
      </w:pPr>
      <w:r>
        <w:rPr>
          <w:rFonts w:eastAsia="Calibri"/>
          <w:color w:val="auto"/>
          <w:sz w:val="20"/>
          <w:szCs w:val="20"/>
          <w:lang w:eastAsia="en-US"/>
        </w:rPr>
        <w:t>(forrás: KSH 1206)</w:t>
      </w:r>
    </w:p>
    <w:p w:rsidR="00442B0D" w:rsidRDefault="00442B0D" w:rsidP="00442B0D">
      <w:pPr>
        <w:keepNext/>
        <w:keepLines/>
        <w:numPr>
          <w:ilvl w:val="1"/>
          <w:numId w:val="1"/>
        </w:numPr>
        <w:suppressAutoHyphens w:val="0"/>
        <w:spacing w:before="240" w:after="240" w:line="256" w:lineRule="auto"/>
        <w:ind w:hanging="578"/>
        <w:jc w:val="both"/>
        <w:outlineLvl w:val="1"/>
        <w:rPr>
          <w:color w:val="2F5496"/>
          <w:sz w:val="26"/>
          <w:szCs w:val="26"/>
          <w:lang w:eastAsia="en-US"/>
        </w:rPr>
      </w:pPr>
      <w:bookmarkStart w:id="6" w:name="_Toc133503882"/>
      <w:bookmarkStart w:id="7" w:name="_Toc133503883"/>
      <w:bookmarkStart w:id="8" w:name="_Toc133503884"/>
      <w:bookmarkStart w:id="9" w:name="_Toc133503885"/>
      <w:bookmarkStart w:id="10" w:name="_Toc133503886"/>
      <w:bookmarkStart w:id="11" w:name="_Toc133503887"/>
      <w:bookmarkStart w:id="12" w:name="_Toc133503888"/>
      <w:bookmarkStart w:id="13" w:name="_Toc133503969"/>
      <w:bookmarkStart w:id="14" w:name="_Toc133503970"/>
      <w:bookmarkStart w:id="15" w:name="_Toc133503971"/>
      <w:bookmarkStart w:id="16" w:name="_Toc133503972"/>
      <w:bookmarkStart w:id="17" w:name="_Toc133503973"/>
      <w:bookmarkStart w:id="18" w:name="_Toc133503974"/>
      <w:bookmarkStart w:id="19" w:name="_Toc133503991"/>
      <w:bookmarkStart w:id="20" w:name="_Toc133503992"/>
      <w:bookmarkStart w:id="21" w:name="_Toc133504021"/>
      <w:bookmarkStart w:id="22" w:name="_Toc133504022"/>
      <w:bookmarkStart w:id="23" w:name="_Toc133504023"/>
      <w:bookmarkStart w:id="24" w:name="_Toc133504024"/>
      <w:bookmarkStart w:id="25" w:name="_Toc133504025"/>
      <w:bookmarkStart w:id="26" w:name="_Toc133504029"/>
      <w:bookmarkStart w:id="27" w:name="_Toc133504042"/>
      <w:bookmarkStart w:id="28" w:name="_Toc228355782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rPr>
          <w:color w:val="2F5496"/>
          <w:sz w:val="26"/>
          <w:szCs w:val="26"/>
          <w:lang w:eastAsia="en-US"/>
        </w:rPr>
        <w:t>Egyéb, a Gyvt.-ben nem szabályozott pénzbeli vagy természetbeni juttatásokra vonatkozó adatok</w:t>
      </w:r>
      <w:bookmarkStart w:id="29" w:name="_Toc133504044"/>
      <w:bookmarkStart w:id="30" w:name="_Toc133504045"/>
      <w:bookmarkStart w:id="31" w:name="_Toc133504046"/>
      <w:bookmarkStart w:id="32" w:name="_Toc133504047"/>
      <w:bookmarkStart w:id="33" w:name="_Toc133504048"/>
      <w:bookmarkStart w:id="34" w:name="_Toc133504049"/>
      <w:bookmarkStart w:id="35" w:name="_Toc133504050"/>
      <w:bookmarkStart w:id="36" w:name="_Toc133504051"/>
      <w:bookmarkStart w:id="37" w:name="_Toc133504052"/>
      <w:bookmarkStart w:id="38" w:name="_Toc133504053"/>
      <w:bookmarkStart w:id="39" w:name="_Toc133504054"/>
      <w:bookmarkStart w:id="40" w:name="_Toc133504055"/>
      <w:bookmarkStart w:id="41" w:name="_Toc133504056"/>
      <w:bookmarkStart w:id="42" w:name="_Toc133504057"/>
      <w:bookmarkStart w:id="43" w:name="_Toc133504058"/>
      <w:bookmarkStart w:id="44" w:name="_Toc133504059"/>
      <w:bookmarkStart w:id="45" w:name="_Toc133504060"/>
      <w:bookmarkStart w:id="46" w:name="_Toc133504061"/>
      <w:bookmarkStart w:id="47" w:name="_Toc133504062"/>
      <w:bookmarkStart w:id="48" w:name="_Toc133504063"/>
      <w:bookmarkStart w:id="49" w:name="_Toc133504064"/>
      <w:bookmarkStart w:id="50" w:name="_Toc133504065"/>
      <w:bookmarkStart w:id="51" w:name="_Toc133504066"/>
      <w:bookmarkStart w:id="52" w:name="_Toc133504067"/>
      <w:bookmarkStart w:id="53" w:name="_Toc133504068"/>
      <w:bookmarkStart w:id="54" w:name="_Toc133504069"/>
      <w:bookmarkStart w:id="55" w:name="_Toc133504070"/>
      <w:bookmarkStart w:id="56" w:name="_Toc133504071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A Gyvt. 18. § (2) bekezdése értelmében a települési önkormányzat képviselő-testülete a rendeletében meghatározott módon és feltételek szerint a gyermek és fiatal felnőtt rászorultságára tekintettel pénzbeli támogatást állapíthat meg. 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 szociális igazgatásról és szociális ellátásokról szóló 1993. évi III. törvény (a továbbiakban: Szt.) 45. §</w:t>
      </w:r>
      <w:proofErr w:type="spellStart"/>
      <w:r>
        <w:rPr>
          <w:rFonts w:eastAsia="Calibri"/>
          <w:b/>
          <w:bCs/>
          <w:color w:val="auto"/>
          <w:lang w:eastAsia="en-US"/>
        </w:rPr>
        <w:t>-</w:t>
      </w:r>
      <w:proofErr w:type="gramStart"/>
      <w:r>
        <w:rPr>
          <w:rFonts w:eastAsia="Calibri"/>
          <w:color w:val="auto"/>
          <w:lang w:eastAsia="en-US"/>
        </w:rPr>
        <w:t>a</w:t>
      </w:r>
      <w:proofErr w:type="spellEnd"/>
      <w:proofErr w:type="gramEnd"/>
      <w:r>
        <w:rPr>
          <w:rFonts w:eastAsia="Calibri"/>
          <w:b/>
          <w:bCs/>
          <w:color w:val="auto"/>
          <w:lang w:eastAsia="en-US"/>
        </w:rPr>
        <w:t xml:space="preserve"> </w:t>
      </w:r>
      <w:r>
        <w:rPr>
          <w:rFonts w:eastAsia="Calibri"/>
          <w:color w:val="auto"/>
          <w:lang w:eastAsia="en-US"/>
        </w:rPr>
        <w:t>értelmében a képviselő-testület önkormányzati rendeletben meghatározott feltételek alapján - pénzbeli vagy természetbeni formában - települési támogatást nyújt, továbbá a létfenntartást veszélyeztető rendkívüli élethelyzetbe került, valamint az időszakosan vagy tartósan létfenntartási gonddal küzdő személyek részére rendkívüli települési támogatást köteles nyújtani.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Az önkormányzat önkormányzati hatósági hatáskörében a települési támogatások keretei között, anyagi lehetőségei függvényében támogatja a szigethalmi lakosokat, így a rászorult gyermekes családokat is. Az önkormányzati hatáskörben, települési szinten adható települési támogatásokat Szigethalom Város Önkormányzata Képviselő-testületének a települési támogatások helyi szabályozásáról szóló 6/2023. (III. 1.) számú rendelete szabályozza.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Szigethalom város Önkormányzata által adott települési támogatások formái a tárgyévben:</w:t>
      </w:r>
    </w:p>
    <w:p w:rsidR="00442B0D" w:rsidRDefault="00442B0D" w:rsidP="00442B0D">
      <w:pPr>
        <w:numPr>
          <w:ilvl w:val="0"/>
          <w:numId w:val="5"/>
        </w:numPr>
        <w:suppressAutoHyphens w:val="0"/>
        <w:spacing w:after="120" w:line="256" w:lineRule="auto"/>
        <w:ind w:left="992" w:hanging="357"/>
        <w:contextualSpacing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Egyszeri gyógyszertámogatás</w:t>
      </w:r>
    </w:p>
    <w:p w:rsidR="00442B0D" w:rsidRDefault="00442B0D" w:rsidP="00442B0D">
      <w:pPr>
        <w:numPr>
          <w:ilvl w:val="0"/>
          <w:numId w:val="5"/>
        </w:numPr>
        <w:suppressAutoHyphens w:val="0"/>
        <w:spacing w:after="120" w:line="256" w:lineRule="auto"/>
        <w:ind w:left="992" w:hanging="357"/>
        <w:contextualSpacing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Rendszeres gyógyszertámogatás</w:t>
      </w:r>
    </w:p>
    <w:p w:rsidR="00442B0D" w:rsidRDefault="00442B0D" w:rsidP="00442B0D">
      <w:pPr>
        <w:numPr>
          <w:ilvl w:val="0"/>
          <w:numId w:val="5"/>
        </w:numPr>
        <w:suppressAutoHyphens w:val="0"/>
        <w:spacing w:after="120" w:line="256" w:lineRule="auto"/>
        <w:ind w:left="992" w:hanging="357"/>
        <w:contextualSpacing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Kegyeleti támogatás</w:t>
      </w:r>
    </w:p>
    <w:p w:rsidR="00442B0D" w:rsidRDefault="00442B0D" w:rsidP="00442B0D">
      <w:pPr>
        <w:numPr>
          <w:ilvl w:val="0"/>
          <w:numId w:val="5"/>
        </w:numPr>
        <w:suppressAutoHyphens w:val="0"/>
        <w:spacing w:after="120" w:line="256" w:lineRule="auto"/>
        <w:ind w:left="992" w:hanging="357"/>
        <w:contextualSpacing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lastRenderedPageBreak/>
        <w:t>Közüzemi támogatás</w:t>
      </w:r>
    </w:p>
    <w:p w:rsidR="00442B0D" w:rsidRDefault="00442B0D" w:rsidP="00442B0D">
      <w:pPr>
        <w:numPr>
          <w:ilvl w:val="0"/>
          <w:numId w:val="5"/>
        </w:numPr>
        <w:suppressAutoHyphens w:val="0"/>
        <w:spacing w:after="120" w:line="256" w:lineRule="auto"/>
        <w:ind w:left="992" w:hanging="357"/>
        <w:contextualSpacing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Tüzelési támogatás</w:t>
      </w:r>
    </w:p>
    <w:p w:rsidR="00442B0D" w:rsidRDefault="00442B0D" w:rsidP="00442B0D">
      <w:pPr>
        <w:numPr>
          <w:ilvl w:val="0"/>
          <w:numId w:val="5"/>
        </w:numPr>
        <w:suppressAutoHyphens w:val="0"/>
        <w:spacing w:after="120" w:line="256" w:lineRule="auto"/>
        <w:ind w:left="992" w:hanging="357"/>
        <w:contextualSpacing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Szemétszállítási díj-kedvezmény</w:t>
      </w:r>
    </w:p>
    <w:p w:rsidR="00442B0D" w:rsidRDefault="00442B0D" w:rsidP="00442B0D">
      <w:pPr>
        <w:numPr>
          <w:ilvl w:val="0"/>
          <w:numId w:val="5"/>
        </w:numPr>
        <w:suppressAutoHyphens w:val="0"/>
        <w:spacing w:after="120" w:line="256" w:lineRule="auto"/>
        <w:ind w:left="992" w:hanging="357"/>
        <w:contextualSpacing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Rendkívüli települési támogatás</w:t>
      </w:r>
    </w:p>
    <w:p w:rsidR="00442B0D" w:rsidRDefault="00442B0D" w:rsidP="00442B0D">
      <w:pPr>
        <w:numPr>
          <w:ilvl w:val="0"/>
          <w:numId w:val="5"/>
        </w:numPr>
        <w:suppressAutoHyphens w:val="0"/>
        <w:spacing w:after="120" w:line="256" w:lineRule="auto"/>
        <w:ind w:left="993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Utazási támogatás</w:t>
      </w:r>
    </w:p>
    <w:p w:rsidR="00442B0D" w:rsidRDefault="00442B0D" w:rsidP="00442B0D">
      <w:pPr>
        <w:suppressAutoHyphens w:val="0"/>
        <w:spacing w:before="240"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Tárgyévben az Önkormányzat összesen 425 fő részére nyújtott települési támogatást összesen 3.088 esetben. Az Önkormányzat költségvetéséből tárgyévben kifizetett nemekre bontott pénzbeli és természetbeni települési támogatások összege, a támogatásban részesített személyek száma és a támogatási esetek száma az alábbi táblázatból olvasható ki. A vizsgált időszakban települési támogatásként összesen 22.755.000Ft pénzbeli és 3.101.000Ft természetbeni támogatás került kifizetésre.</w:t>
      </w:r>
    </w:p>
    <w:p w:rsidR="00442B0D" w:rsidRDefault="00442B0D" w:rsidP="00442B0D">
      <w:pPr>
        <w:suppressAutoHyphens w:val="0"/>
        <w:spacing w:before="240" w:after="240"/>
        <w:jc w:val="center"/>
        <w:rPr>
          <w:rFonts w:eastAsia="Calibri"/>
          <w:bCs/>
          <w:color w:val="auto"/>
          <w:sz w:val="20"/>
          <w:szCs w:val="20"/>
          <w:lang w:eastAsia="en-US"/>
        </w:rPr>
      </w:pPr>
      <w:r>
        <w:rPr>
          <w:rFonts w:eastAsia="Calibri"/>
          <w:bCs/>
          <w:color w:val="auto"/>
          <w:sz w:val="20"/>
          <w:szCs w:val="20"/>
          <w:lang w:eastAsia="en-US"/>
        </w:rPr>
        <w:t>A települési támogatás 2025. évi összesített adatai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5"/>
        <w:gridCol w:w="885"/>
        <w:gridCol w:w="829"/>
        <w:gridCol w:w="1348"/>
        <w:gridCol w:w="840"/>
        <w:gridCol w:w="1318"/>
        <w:gridCol w:w="829"/>
        <w:gridCol w:w="1318"/>
      </w:tblGrid>
      <w:tr w:rsidR="00442B0D" w:rsidTr="00442B0D">
        <w:trPr>
          <w:trHeight w:val="570"/>
        </w:trPr>
        <w:tc>
          <w:tcPr>
            <w:tcW w:w="1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both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30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center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Támogatásban részesített személyek száma (fő)</w:t>
            </w:r>
          </w:p>
        </w:tc>
        <w:tc>
          <w:tcPr>
            <w:tcW w:w="21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center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Támogatási esetek száma (db)</w:t>
            </w:r>
          </w:p>
        </w:tc>
        <w:tc>
          <w:tcPr>
            <w:tcW w:w="21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center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Felhasznált összeg, éves összesen (ezer Ft)</w:t>
            </w:r>
          </w:p>
        </w:tc>
      </w:tr>
      <w:tr w:rsidR="00442B0D" w:rsidTr="00442B0D">
        <w:trPr>
          <w:trHeight w:val="315"/>
        </w:trPr>
        <w:tc>
          <w:tcPr>
            <w:tcW w:w="1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both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center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Összesen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center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Pénzbeli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center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Természetbeni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center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Pénzbeli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center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Természetbeni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center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Pénzbeli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center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Természetbeni</w:t>
            </w:r>
          </w:p>
        </w:tc>
      </w:tr>
      <w:tr w:rsidR="00442B0D" w:rsidTr="00442B0D">
        <w:trPr>
          <w:trHeight w:val="1140"/>
        </w:trPr>
        <w:tc>
          <w:tcPr>
            <w:tcW w:w="1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both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lakhatáshoz kapcsolódó rendszeres kiadások viseléséhez (szemétszállítási díjkedvezmény)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196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196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2352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3101</w:t>
            </w:r>
          </w:p>
        </w:tc>
      </w:tr>
      <w:tr w:rsidR="00442B0D" w:rsidTr="00442B0D">
        <w:trPr>
          <w:trHeight w:val="1110"/>
        </w:trPr>
        <w:tc>
          <w:tcPr>
            <w:tcW w:w="1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both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lakhatási kiadásokhoz kapcsolódó hátralékot felhalmozó személyek részére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0</w:t>
            </w:r>
          </w:p>
        </w:tc>
      </w:tr>
      <w:tr w:rsidR="00442B0D" w:rsidTr="00442B0D">
        <w:trPr>
          <w:trHeight w:val="1470"/>
        </w:trPr>
        <w:tc>
          <w:tcPr>
            <w:tcW w:w="1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both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18. életévét betöltött tartósan beteg hozzátartozójának az ápolását, gondozását végző személy részére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0</w:t>
            </w:r>
          </w:p>
        </w:tc>
      </w:tr>
      <w:tr w:rsidR="00442B0D" w:rsidTr="00442B0D">
        <w:trPr>
          <w:trHeight w:val="735"/>
        </w:trPr>
        <w:tc>
          <w:tcPr>
            <w:tcW w:w="1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both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gyógyszerkiadások viseléséhez (rendszeres és egyszeri)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24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266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2379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0</w:t>
            </w:r>
          </w:p>
        </w:tc>
      </w:tr>
      <w:tr w:rsidR="00442B0D" w:rsidTr="00442B0D">
        <w:trPr>
          <w:trHeight w:val="585"/>
        </w:trPr>
        <w:tc>
          <w:tcPr>
            <w:tcW w:w="1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both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rendkívüli települési támogatás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142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142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374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15986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0</w:t>
            </w:r>
          </w:p>
        </w:tc>
      </w:tr>
      <w:tr w:rsidR="00442B0D" w:rsidTr="00442B0D">
        <w:trPr>
          <w:trHeight w:val="1140"/>
        </w:trPr>
        <w:tc>
          <w:tcPr>
            <w:tcW w:w="1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both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egyéb települési támogatás keretében nyújtott ellátás (tüzelési, kegyeleti, utazási támogatás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63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63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96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4390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0</w:t>
            </w:r>
          </w:p>
        </w:tc>
      </w:tr>
      <w:tr w:rsidR="00442B0D" w:rsidTr="00442B0D">
        <w:trPr>
          <w:trHeight w:val="315"/>
        </w:trPr>
        <w:tc>
          <w:tcPr>
            <w:tcW w:w="1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both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Összesen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425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229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196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736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2352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b/>
                <w:bCs/>
                <w:sz w:val="20"/>
                <w:szCs w:val="20"/>
                <w:lang w:eastAsia="hu-HU"/>
              </w:rPr>
            </w:pPr>
            <w:r>
              <w:rPr>
                <w:b/>
                <w:bCs/>
                <w:sz w:val="20"/>
                <w:szCs w:val="20"/>
                <w:lang w:eastAsia="hu-HU"/>
              </w:rPr>
              <w:t>22 755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spacing w:line="256" w:lineRule="auto"/>
              <w:jc w:val="right"/>
              <w:rPr>
                <w:b/>
                <w:bCs/>
                <w:sz w:val="20"/>
                <w:szCs w:val="20"/>
                <w:lang w:eastAsia="hu-HU"/>
              </w:rPr>
            </w:pPr>
            <w:r>
              <w:rPr>
                <w:b/>
                <w:bCs/>
                <w:sz w:val="20"/>
                <w:szCs w:val="20"/>
                <w:lang w:eastAsia="hu-HU"/>
              </w:rPr>
              <w:t>3 101</w:t>
            </w:r>
          </w:p>
        </w:tc>
      </w:tr>
    </w:tbl>
    <w:p w:rsidR="00442B0D" w:rsidRDefault="00442B0D" w:rsidP="00442B0D">
      <w:pPr>
        <w:suppressAutoHyphens w:val="0"/>
        <w:spacing w:before="120" w:after="120"/>
        <w:jc w:val="both"/>
        <w:rPr>
          <w:rFonts w:eastAsia="Calibri"/>
          <w:color w:val="auto"/>
          <w:sz w:val="20"/>
          <w:szCs w:val="20"/>
          <w:lang w:eastAsia="en-US"/>
        </w:rPr>
      </w:pPr>
      <w:r>
        <w:rPr>
          <w:rFonts w:eastAsia="Calibri"/>
          <w:color w:val="auto"/>
          <w:sz w:val="20"/>
          <w:szCs w:val="20"/>
          <w:lang w:eastAsia="en-US"/>
        </w:rPr>
        <w:t>(forrás: KSH 1206)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lastRenderedPageBreak/>
        <w:t xml:space="preserve">A települési támogatáson túl az önkormányzat 2025-ben összesen 5.360.000Ft összeggel támogatta a helyi tehetséges fiatalokat sport-, középfokú tanulmányi és </w:t>
      </w:r>
      <w:proofErr w:type="spellStart"/>
      <w:r>
        <w:rPr>
          <w:rFonts w:eastAsia="Calibri"/>
          <w:color w:val="auto"/>
          <w:lang w:eastAsia="en-US"/>
        </w:rPr>
        <w:t>Bursa</w:t>
      </w:r>
      <w:proofErr w:type="spellEnd"/>
      <w:r>
        <w:rPr>
          <w:rFonts w:eastAsia="Calibri"/>
          <w:color w:val="auto"/>
          <w:lang w:eastAsia="en-US"/>
        </w:rPr>
        <w:t xml:space="preserve"> ösztöndíjak formájában, valamint 840.000Ft összeget fordított köztemetésre szociális pénzbeli ellátásként.</w:t>
      </w:r>
    </w:p>
    <w:p w:rsidR="00442B0D" w:rsidRDefault="00442B0D" w:rsidP="00442B0D">
      <w:pPr>
        <w:keepNext/>
        <w:keepLines/>
        <w:numPr>
          <w:ilvl w:val="1"/>
          <w:numId w:val="1"/>
        </w:numPr>
        <w:suppressAutoHyphens w:val="0"/>
        <w:spacing w:before="240" w:after="240" w:line="256" w:lineRule="auto"/>
        <w:ind w:left="709" w:hanging="578"/>
        <w:jc w:val="both"/>
        <w:outlineLvl w:val="1"/>
        <w:rPr>
          <w:color w:val="2F5496"/>
          <w:sz w:val="26"/>
          <w:szCs w:val="26"/>
          <w:lang w:eastAsia="en-US"/>
        </w:rPr>
      </w:pPr>
      <w:bookmarkStart w:id="57" w:name="_Toc228355783"/>
      <w:r>
        <w:rPr>
          <w:color w:val="2F5496"/>
          <w:sz w:val="26"/>
          <w:szCs w:val="26"/>
          <w:lang w:eastAsia="en-US"/>
        </w:rPr>
        <w:t>Gyermekétkeztetés megoldásának módjai, kedvezményben részesülőkre vonatkozó statisztikai adatok</w:t>
      </w:r>
      <w:bookmarkEnd w:id="57"/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 gyermekek védelméről és a gyámügyi igazgatásról szóló 1997. évi XXXI. törvény 18. § (1a) bekezdése kimondja, hogy a települési önkormányzat vagy a fenntartó az e törvényben meghatározott módon, természetbeni ellátásként biztosítja a gyermekétkeztetést.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 Gyvt. 21. § (1) bekezdése értelmében természetbeni ellátásként a gyermek életkorának megfelelő gyermekétkeztetést kell biztosítani a gyermeket gondozó szülő, törvényes képviselő vagy nevelésbe vett gyermek esetén a gyermek ellátását biztosító nevelőszülő, gyermekotthon vezetője, illetve az Szt. hatálya alá tartozó ápolást, gondozást nyújtó intézmény vezetője kérelmére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proofErr w:type="gramStart"/>
      <w:r>
        <w:rPr>
          <w:rFonts w:eastAsia="Calibri"/>
          <w:color w:val="auto"/>
          <w:lang w:eastAsia="en-US"/>
        </w:rPr>
        <w:t>a</w:t>
      </w:r>
      <w:proofErr w:type="gramEnd"/>
      <w:r>
        <w:rPr>
          <w:rFonts w:eastAsia="Calibri"/>
          <w:color w:val="auto"/>
          <w:lang w:eastAsia="en-US"/>
        </w:rPr>
        <w:t xml:space="preserve">) </w:t>
      </w:r>
      <w:proofErr w:type="spellStart"/>
      <w:r>
        <w:rPr>
          <w:rFonts w:eastAsia="Calibri"/>
          <w:color w:val="auto"/>
          <w:lang w:eastAsia="en-US"/>
        </w:rPr>
        <w:t>a</w:t>
      </w:r>
      <w:proofErr w:type="spellEnd"/>
      <w:r>
        <w:rPr>
          <w:rFonts w:eastAsia="Calibri"/>
          <w:color w:val="auto"/>
          <w:lang w:eastAsia="en-US"/>
        </w:rPr>
        <w:t xml:space="preserve"> bölcsődében, mini bölcsődében,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b) az óvodában,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c) a nyári napközis otthonban,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d) az általános és középiskolai kollégiumban, az itt szervezett </w:t>
      </w:r>
      <w:proofErr w:type="spellStart"/>
      <w:r>
        <w:rPr>
          <w:rFonts w:eastAsia="Calibri"/>
          <w:color w:val="auto"/>
          <w:lang w:eastAsia="en-US"/>
        </w:rPr>
        <w:t>externátusi</w:t>
      </w:r>
      <w:proofErr w:type="spellEnd"/>
      <w:r>
        <w:rPr>
          <w:rFonts w:eastAsia="Calibri"/>
          <w:color w:val="auto"/>
          <w:lang w:eastAsia="en-US"/>
        </w:rPr>
        <w:t xml:space="preserve"> ellátásban,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proofErr w:type="gramStart"/>
      <w:r>
        <w:rPr>
          <w:rFonts w:eastAsia="Calibri"/>
          <w:color w:val="auto"/>
          <w:lang w:eastAsia="en-US"/>
        </w:rPr>
        <w:t>e</w:t>
      </w:r>
      <w:proofErr w:type="gramEnd"/>
      <w:r>
        <w:rPr>
          <w:rFonts w:eastAsia="Calibri"/>
          <w:color w:val="auto"/>
          <w:lang w:eastAsia="en-US"/>
        </w:rPr>
        <w:t>) az általános iskolai és - ha önkormányzati rendelet kivételével jogszabály másképpen nem rendelkezik - a középfokú iskolai menzai ellátás keretében,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proofErr w:type="gramStart"/>
      <w:r>
        <w:rPr>
          <w:rFonts w:eastAsia="Calibri"/>
          <w:color w:val="auto"/>
          <w:lang w:eastAsia="en-US"/>
        </w:rPr>
        <w:t>f</w:t>
      </w:r>
      <w:proofErr w:type="gramEnd"/>
      <w:r>
        <w:rPr>
          <w:rFonts w:eastAsia="Calibri"/>
          <w:color w:val="auto"/>
          <w:lang w:eastAsia="en-US"/>
        </w:rPr>
        <w:t xml:space="preserve">) a fogyatékos gyermekek, tanulók nevelését, oktatását ellátó intézményben és a fogyatékos gyermekek számára nappali ellátást nyújtó, az Szt. hatálya alá tartozó fogyatékosok nappali intézményében [az a) </w:t>
      </w:r>
      <w:proofErr w:type="spellStart"/>
      <w:r>
        <w:rPr>
          <w:rFonts w:eastAsia="Calibri"/>
          <w:color w:val="auto"/>
          <w:lang w:eastAsia="en-US"/>
        </w:rPr>
        <w:t>-f</w:t>
      </w:r>
      <w:proofErr w:type="spellEnd"/>
      <w:r>
        <w:rPr>
          <w:rFonts w:eastAsia="Calibri"/>
          <w:color w:val="auto"/>
          <w:lang w:eastAsia="en-US"/>
        </w:rPr>
        <w:t>) pontban foglaltak a továbbiakban együtt: intézményi gyermekétkeztetés],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proofErr w:type="gramStart"/>
      <w:r>
        <w:rPr>
          <w:rFonts w:eastAsia="Calibri"/>
          <w:color w:val="auto"/>
          <w:lang w:eastAsia="en-US"/>
        </w:rPr>
        <w:t>g</w:t>
      </w:r>
      <w:proofErr w:type="gramEnd"/>
      <w:r>
        <w:rPr>
          <w:rFonts w:eastAsia="Calibri"/>
          <w:color w:val="auto"/>
          <w:lang w:eastAsia="en-US"/>
        </w:rPr>
        <w:t>) a 21/C. §</w:t>
      </w:r>
      <w:proofErr w:type="spellStart"/>
      <w:r>
        <w:rPr>
          <w:rFonts w:eastAsia="Calibri"/>
          <w:color w:val="auto"/>
          <w:lang w:eastAsia="en-US"/>
        </w:rPr>
        <w:t>-ban</w:t>
      </w:r>
      <w:proofErr w:type="spellEnd"/>
      <w:r>
        <w:rPr>
          <w:rFonts w:eastAsia="Calibri"/>
          <w:color w:val="auto"/>
          <w:lang w:eastAsia="en-US"/>
        </w:rPr>
        <w:t xml:space="preserve"> foglaltak szerint a bölcsőde, mini bölcsőde és az óvoda zárva tartása, valamint az iskolában a nyári szünet és a tanítási szünetek időtartama alatt (a továbbiakban együtt: szünidei gyermekétkeztetés).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Településünkön a Nebuló Közétkeztetési Intézmény gondoskodik a gyermekek étkeztetéséről a helyi bölcsődékben, óvodákban és iskolákban. A gyermekétkeztetés bemutatására szolgáló statisztikákat és a szemléltetésre használt </w:t>
      </w:r>
      <w:proofErr w:type="spellStart"/>
      <w:r>
        <w:rPr>
          <w:rFonts w:eastAsia="Calibri"/>
          <w:color w:val="auto"/>
          <w:lang w:eastAsia="en-US"/>
        </w:rPr>
        <w:t>diagrammokat</w:t>
      </w:r>
      <w:proofErr w:type="spellEnd"/>
      <w:r>
        <w:rPr>
          <w:rFonts w:eastAsia="Calibri"/>
          <w:color w:val="auto"/>
          <w:lang w:eastAsia="en-US"/>
        </w:rPr>
        <w:t xml:space="preserve"> az intézmény vezetője készítette.</w:t>
      </w:r>
    </w:p>
    <w:p w:rsidR="00442B0D" w:rsidRDefault="00442B0D" w:rsidP="00442B0D">
      <w:pPr>
        <w:keepNext/>
        <w:keepLines/>
        <w:numPr>
          <w:ilvl w:val="2"/>
          <w:numId w:val="1"/>
        </w:numPr>
        <w:suppressAutoHyphens w:val="0"/>
        <w:spacing w:before="240" w:after="120" w:line="256" w:lineRule="auto"/>
        <w:outlineLvl w:val="2"/>
        <w:rPr>
          <w:color w:val="1F3763"/>
          <w:lang w:eastAsia="en-US"/>
        </w:rPr>
      </w:pPr>
      <w:bookmarkStart w:id="58" w:name="_Toc133504074"/>
      <w:bookmarkStart w:id="59" w:name="_Toc102640303"/>
      <w:bookmarkStart w:id="60" w:name="_Toc102640365"/>
      <w:bookmarkStart w:id="61" w:name="_Toc102642741"/>
      <w:bookmarkStart w:id="62" w:name="_Toc102642987"/>
      <w:bookmarkStart w:id="63" w:name="_Toc102640304"/>
      <w:bookmarkStart w:id="64" w:name="_Toc102640366"/>
      <w:bookmarkStart w:id="65" w:name="_Toc102642742"/>
      <w:bookmarkStart w:id="66" w:name="_Toc102642988"/>
      <w:bookmarkStart w:id="67" w:name="_Toc228355784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>
        <w:rPr>
          <w:color w:val="1F3763"/>
          <w:lang w:eastAsia="en-US"/>
        </w:rPr>
        <w:t>Bölcsődei étkeztetés</w:t>
      </w:r>
      <w:bookmarkEnd w:id="67"/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Tárgyévben a Nebuló összesen 18.233 adag ételt szállított a bölcsődék számára. A bölcsődei adagszámok 2020. óta növekednek. 2024-ről 2025-re 5,59%-kal nőtt az előállított adagok száma.</w:t>
      </w:r>
    </w:p>
    <w:p w:rsidR="00442B0D" w:rsidRDefault="00442B0D" w:rsidP="00442B0D">
      <w:pPr>
        <w:suppressAutoHyphens w:val="0"/>
        <w:spacing w:after="120"/>
        <w:jc w:val="center"/>
        <w:rPr>
          <w:rFonts w:eastAsia="Calibri"/>
          <w:color w:val="FF0000"/>
          <w:lang w:eastAsia="en-US"/>
        </w:rPr>
      </w:pPr>
      <w:r>
        <w:rPr>
          <w:noProof/>
          <w:lang w:eastAsia="hu-HU"/>
        </w:rPr>
        <w:lastRenderedPageBreak/>
        <w:drawing>
          <wp:inline distT="0" distB="0" distL="0" distR="0">
            <wp:extent cx="5756910" cy="2830830"/>
            <wp:effectExtent l="0" t="0" r="15240" b="7620"/>
            <wp:docPr id="1244957171" name="Diagram 124495717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xmlns:lc="http://schemas.openxmlformats.org/drawingml/2006/lockedCanvas" id="{A77DFDDC-1735-4D3B-A334-82DB4FC0B27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442B0D" w:rsidRDefault="00442B0D" w:rsidP="00442B0D">
      <w:pPr>
        <w:suppressAutoHyphens w:val="0"/>
        <w:spacing w:before="120" w:after="120"/>
        <w:jc w:val="both"/>
        <w:rPr>
          <w:rFonts w:eastAsia="Calibri"/>
          <w:color w:val="auto"/>
          <w:sz w:val="20"/>
          <w:szCs w:val="20"/>
          <w:lang w:eastAsia="en-US"/>
        </w:rPr>
      </w:pPr>
      <w:r>
        <w:rPr>
          <w:rFonts w:eastAsia="Calibri"/>
          <w:color w:val="auto"/>
          <w:sz w:val="20"/>
          <w:szCs w:val="20"/>
          <w:lang w:eastAsia="en-US"/>
        </w:rPr>
        <w:t>(forrás: Nebuló Közétkeztetési Intézmény)</w:t>
      </w:r>
    </w:p>
    <w:p w:rsidR="00442B0D" w:rsidRDefault="00442B0D" w:rsidP="00442B0D">
      <w:pPr>
        <w:suppressAutoHyphens w:val="0"/>
        <w:spacing w:before="120"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Az alábbi táblázatban megtekinthető a bölcsőde számára készített adagok száma normatív kedvezményben részesülő adagszámok és normatív kedvezményben nem részesülő adagszámok szerinti bontásban. 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 köznyelv ingyenes közétkeztetésként ismeri azt, amikor a gyermek 100% normatív étkezési díjkedvezményben részesül napi három étkezésre. Az „ingyenes” étkeztetés költségét normatív támogatásként finanszírozza a központi költségvetés.</w:t>
      </w:r>
    </w:p>
    <w:p w:rsidR="00442B0D" w:rsidRDefault="00442B0D" w:rsidP="00442B0D">
      <w:pPr>
        <w:suppressAutoHyphens w:val="0"/>
        <w:spacing w:after="120"/>
        <w:jc w:val="center"/>
        <w:rPr>
          <w:rFonts w:eastAsia="Calibri"/>
          <w:color w:val="FF0000"/>
          <w:lang w:eastAsia="en-US"/>
        </w:rPr>
      </w:pPr>
      <w:r>
        <w:rPr>
          <w:noProof/>
          <w:lang w:eastAsia="hu-H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4829175</wp:posOffset>
            </wp:positionH>
            <wp:positionV relativeFrom="paragraph">
              <wp:posOffset>2742565</wp:posOffset>
            </wp:positionV>
            <wp:extent cx="807720" cy="434340"/>
            <wp:effectExtent l="0" t="0" r="0" b="3810"/>
            <wp:wrapNone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434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hu-HU"/>
        </w:rPr>
        <w:drawing>
          <wp:inline distT="0" distB="0" distL="0" distR="0">
            <wp:extent cx="5685155" cy="3275965"/>
            <wp:effectExtent l="0" t="0" r="10795" b="635"/>
            <wp:docPr id="1261819138" name="Diagram 1261819138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xmlns:lc="http://schemas.openxmlformats.org/drawingml/2006/lockedCanvas" id="{51EBF214-B15D-4634-8217-CD0B131C14F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:rsidR="00442B0D" w:rsidRDefault="00442B0D" w:rsidP="00442B0D">
      <w:pPr>
        <w:suppressAutoHyphens w:val="0"/>
        <w:spacing w:before="120" w:after="120"/>
        <w:jc w:val="both"/>
        <w:rPr>
          <w:rFonts w:eastAsia="Calibri"/>
          <w:color w:val="auto"/>
          <w:sz w:val="20"/>
          <w:szCs w:val="20"/>
          <w:lang w:eastAsia="en-US"/>
        </w:rPr>
      </w:pPr>
      <w:r>
        <w:rPr>
          <w:rFonts w:eastAsia="Calibri"/>
          <w:color w:val="auto"/>
          <w:sz w:val="20"/>
          <w:szCs w:val="20"/>
          <w:lang w:eastAsia="en-US"/>
        </w:rPr>
        <w:t>(forrás: Nebuló Közétkeztetési Intézmény)</w:t>
      </w:r>
    </w:p>
    <w:p w:rsidR="00442B0D" w:rsidRDefault="00442B0D" w:rsidP="00442B0D">
      <w:pPr>
        <w:suppressAutoHyphens w:val="0"/>
        <w:spacing w:before="240"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 bölcsődei étkeztetett gyermekek 79%-a részesül a 100 % normatív étkezési díjkedvezményben.</w:t>
      </w:r>
    </w:p>
    <w:p w:rsidR="00442B0D" w:rsidRDefault="00442B0D" w:rsidP="00442B0D">
      <w:pPr>
        <w:suppressAutoHyphens w:val="0"/>
        <w:spacing w:after="160" w:line="256" w:lineRule="auto"/>
        <w:jc w:val="center"/>
        <w:rPr>
          <w:rFonts w:ascii="Calibri" w:eastAsia="Calibri" w:hAnsi="Calibri"/>
          <w:color w:val="auto"/>
          <w:sz w:val="22"/>
          <w:szCs w:val="22"/>
          <w:lang w:eastAsia="en-US"/>
        </w:rPr>
      </w:pPr>
      <w:bookmarkStart w:id="68" w:name="_Toc133504076"/>
      <w:bookmarkStart w:id="69" w:name="_Toc133504077"/>
      <w:bookmarkStart w:id="70" w:name="_Toc133504078"/>
      <w:bookmarkStart w:id="71" w:name="_Toc133504079"/>
      <w:bookmarkStart w:id="72" w:name="_Toc133504080"/>
      <w:bookmarkStart w:id="73" w:name="__RefHeading___Toc16159_1161673798"/>
      <w:bookmarkStart w:id="74" w:name="_Toc133504081"/>
      <w:bookmarkEnd w:id="68"/>
      <w:bookmarkEnd w:id="69"/>
      <w:bookmarkEnd w:id="70"/>
      <w:bookmarkEnd w:id="71"/>
      <w:bookmarkEnd w:id="72"/>
      <w:bookmarkEnd w:id="73"/>
      <w:bookmarkEnd w:id="74"/>
      <w:r>
        <w:rPr>
          <w:noProof/>
          <w:lang w:eastAsia="hu-HU"/>
        </w:rPr>
        <w:lastRenderedPageBreak/>
        <w:drawing>
          <wp:inline distT="0" distB="0" distL="0" distR="0">
            <wp:extent cx="4730750" cy="3474720"/>
            <wp:effectExtent l="19050" t="0" r="50800" b="11430"/>
            <wp:docPr id="1038662973" name="Diagram 1038662973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xmlns:lc="http://schemas.openxmlformats.org/drawingml/2006/lockedCanvas" id="{58BAAD4E-192F-4816-8DE3-D601DAC17A8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:rsidR="00442B0D" w:rsidRDefault="00442B0D" w:rsidP="00442B0D">
      <w:pPr>
        <w:suppressAutoHyphens w:val="0"/>
        <w:spacing w:before="120" w:after="120"/>
        <w:jc w:val="both"/>
        <w:rPr>
          <w:rFonts w:eastAsia="Calibri"/>
          <w:color w:val="auto"/>
          <w:sz w:val="20"/>
          <w:szCs w:val="20"/>
          <w:lang w:eastAsia="en-US"/>
        </w:rPr>
      </w:pPr>
      <w:r>
        <w:rPr>
          <w:rFonts w:eastAsia="Calibri"/>
          <w:color w:val="auto"/>
          <w:sz w:val="20"/>
          <w:szCs w:val="20"/>
          <w:lang w:eastAsia="en-US"/>
        </w:rPr>
        <w:t>(forrás: Nebuló Közétkeztetési Intézmény)</w:t>
      </w:r>
    </w:p>
    <w:p w:rsidR="00442B0D" w:rsidRDefault="00442B0D" w:rsidP="00442B0D">
      <w:pPr>
        <w:keepNext/>
        <w:keepLines/>
        <w:numPr>
          <w:ilvl w:val="2"/>
          <w:numId w:val="1"/>
        </w:numPr>
        <w:suppressAutoHyphens w:val="0"/>
        <w:spacing w:before="240" w:after="120" w:line="256" w:lineRule="auto"/>
        <w:outlineLvl w:val="2"/>
        <w:rPr>
          <w:color w:val="1F3763"/>
          <w:lang w:eastAsia="en-US"/>
        </w:rPr>
      </w:pPr>
      <w:bookmarkStart w:id="75" w:name="_Toc228355785"/>
      <w:r>
        <w:rPr>
          <w:color w:val="1F3763"/>
          <w:lang w:eastAsia="en-US"/>
        </w:rPr>
        <w:t>Óvodai étkeztetés</w:t>
      </w:r>
      <w:bookmarkEnd w:id="75"/>
    </w:p>
    <w:p w:rsidR="00442B0D" w:rsidRDefault="00442B0D" w:rsidP="00442B0D">
      <w:pPr>
        <w:suppressAutoHyphens w:val="0"/>
        <w:spacing w:after="240"/>
        <w:jc w:val="both"/>
        <w:rPr>
          <w:rFonts w:eastAsia="Calibri"/>
          <w:color w:val="000009"/>
          <w:lang w:eastAsia="en-US"/>
        </w:rPr>
      </w:pPr>
      <w:r>
        <w:rPr>
          <w:rFonts w:eastAsia="Calibri"/>
          <w:color w:val="000009"/>
          <w:lang w:eastAsia="en-US"/>
        </w:rPr>
        <w:t xml:space="preserve">2025-ben a Nebuló Közétkeztetési Intézmény 105.190 adag ételt állatott elő az óvodások számára. </w:t>
      </w:r>
    </w:p>
    <w:p w:rsidR="00442B0D" w:rsidRDefault="00442B0D" w:rsidP="00442B0D">
      <w:pPr>
        <w:suppressAutoHyphens w:val="0"/>
        <w:spacing w:after="240"/>
        <w:jc w:val="center"/>
        <w:rPr>
          <w:rFonts w:eastAsia="Calibri"/>
          <w:color w:val="auto"/>
          <w:lang w:eastAsia="en-US"/>
        </w:rPr>
      </w:pPr>
      <w:r>
        <w:rPr>
          <w:noProof/>
          <w:lang w:eastAsia="hu-HU"/>
        </w:rPr>
        <w:drawing>
          <wp:inline distT="0" distB="0" distL="0" distR="0">
            <wp:extent cx="5669280" cy="2941955"/>
            <wp:effectExtent l="0" t="0" r="7620" b="10795"/>
            <wp:docPr id="685787056" name="Diagram 685787056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xmlns:lc="http://schemas.openxmlformats.org/drawingml/2006/lockedCanvas" id="{FD9CB2AE-00F9-42B0-A6A6-5F8BCEAA950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:rsidR="00442B0D" w:rsidRDefault="00442B0D" w:rsidP="00442B0D">
      <w:pPr>
        <w:suppressAutoHyphens w:val="0"/>
        <w:spacing w:before="120" w:after="120"/>
        <w:jc w:val="both"/>
        <w:rPr>
          <w:rFonts w:eastAsia="Calibri"/>
          <w:color w:val="auto"/>
          <w:sz w:val="20"/>
          <w:szCs w:val="20"/>
          <w:lang w:eastAsia="en-US"/>
        </w:rPr>
      </w:pPr>
      <w:r>
        <w:rPr>
          <w:rFonts w:eastAsia="Calibri"/>
          <w:color w:val="auto"/>
          <w:sz w:val="20"/>
          <w:szCs w:val="20"/>
          <w:lang w:eastAsia="en-US"/>
        </w:rPr>
        <w:t>(forrás: Nebuló Közétkeztetési Intézmény)</w:t>
      </w:r>
    </w:p>
    <w:p w:rsidR="00442B0D" w:rsidRDefault="00442B0D" w:rsidP="00442B0D">
      <w:pPr>
        <w:suppressAutoHyphens w:val="0"/>
        <w:autoSpaceDE w:val="0"/>
        <w:autoSpaceDN w:val="0"/>
        <w:adjustRightInd w:val="0"/>
        <w:spacing w:before="240" w:after="2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Az előállított óvodai adagszámok 89%-ára a 100%-os normatív térítési díjkedvezmény érvényesül. Az adagok 10%-ára nem vehető igénybe kedvezmény, míg a maradék 1% esetében a 100%-os kedvezmény csak a napi egyszeri étkezésre - az ebédre - vonatkozik.</w:t>
      </w:r>
    </w:p>
    <w:p w:rsidR="00442B0D" w:rsidRDefault="00442B0D" w:rsidP="00442B0D">
      <w:pPr>
        <w:suppressAutoHyphens w:val="0"/>
        <w:spacing w:after="120"/>
        <w:jc w:val="center"/>
        <w:rPr>
          <w:rFonts w:eastAsia="Calibri"/>
          <w:color w:val="auto"/>
          <w:lang w:eastAsia="en-US"/>
        </w:rPr>
      </w:pPr>
      <w:r>
        <w:rPr>
          <w:noProof/>
          <w:lang w:eastAsia="hu-HU"/>
        </w:rPr>
        <w:lastRenderedPageBreak/>
        <w:drawing>
          <wp:inline distT="0" distB="0" distL="0" distR="0">
            <wp:extent cx="5518150" cy="3379470"/>
            <wp:effectExtent l="0" t="0" r="6350" b="11430"/>
            <wp:docPr id="1482301246" name="Diagram 1482301246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xmlns:lc="http://schemas.openxmlformats.org/drawingml/2006/lockedCanvas" id="{6C6A2D6D-2C49-4CA3-879F-29CAC0A9FD5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:rsidR="00442B0D" w:rsidRDefault="00442B0D" w:rsidP="00442B0D">
      <w:pPr>
        <w:suppressAutoHyphens w:val="0"/>
        <w:spacing w:before="120" w:after="120"/>
        <w:jc w:val="both"/>
        <w:rPr>
          <w:rFonts w:eastAsia="Calibri"/>
          <w:color w:val="auto"/>
          <w:sz w:val="20"/>
          <w:szCs w:val="20"/>
          <w:lang w:eastAsia="en-US"/>
        </w:rPr>
      </w:pPr>
      <w:r>
        <w:rPr>
          <w:rFonts w:eastAsia="Calibri"/>
          <w:color w:val="auto"/>
          <w:sz w:val="20"/>
          <w:szCs w:val="20"/>
          <w:lang w:eastAsia="en-US"/>
        </w:rPr>
        <w:t>(forrás: Nebuló Közétkeztetési Intézmény)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000009"/>
          <w:lang w:eastAsia="en-US"/>
        </w:rPr>
        <w:t>Az alábbi diagram bemutatja a 100% normatív kedvezményben részesülő „ingyenes” adagok és a normatív kedvezményben nem részesülő adagok számát az összes óvodai adagszámhoz viszonyítva.</w:t>
      </w:r>
    </w:p>
    <w:p w:rsidR="00442B0D" w:rsidRDefault="00442B0D" w:rsidP="00442B0D">
      <w:pPr>
        <w:suppressAutoHyphens w:val="0"/>
        <w:spacing w:before="240" w:after="120"/>
        <w:jc w:val="center"/>
        <w:rPr>
          <w:rFonts w:eastAsia="Calibri"/>
          <w:color w:val="auto"/>
          <w:sz w:val="22"/>
          <w:szCs w:val="22"/>
          <w:lang w:eastAsia="en-US"/>
        </w:rPr>
      </w:pPr>
      <w:r>
        <w:rPr>
          <w:noProof/>
          <w:lang w:eastAsia="hu-HU"/>
        </w:rPr>
        <w:drawing>
          <wp:inline distT="0" distB="0" distL="0" distR="0">
            <wp:extent cx="5716905" cy="4333240"/>
            <wp:effectExtent l="0" t="0" r="17145" b="10160"/>
            <wp:docPr id="300871227" name="Diagram 300871227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xmlns:lc="http://schemas.openxmlformats.org/drawingml/2006/lockedCanvas" id="{33C024E3-6DD7-7B88-67D9-0FE8BE72FA3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:rsidR="00442B0D" w:rsidRDefault="00442B0D" w:rsidP="00442B0D">
      <w:pPr>
        <w:keepNext/>
        <w:keepLines/>
        <w:numPr>
          <w:ilvl w:val="2"/>
          <w:numId w:val="1"/>
        </w:numPr>
        <w:suppressAutoHyphens w:val="0"/>
        <w:spacing w:before="240" w:after="120" w:line="256" w:lineRule="auto"/>
        <w:outlineLvl w:val="2"/>
        <w:rPr>
          <w:color w:val="1F3763"/>
          <w:lang w:eastAsia="en-US"/>
        </w:rPr>
      </w:pPr>
      <w:bookmarkStart w:id="76" w:name="_Toc133504083"/>
      <w:bookmarkStart w:id="77" w:name="_Toc133504084"/>
      <w:bookmarkStart w:id="78" w:name="_Toc133504085"/>
      <w:bookmarkStart w:id="79" w:name="_Toc133504086"/>
      <w:bookmarkStart w:id="80" w:name="_Toc102640307"/>
      <w:bookmarkStart w:id="81" w:name="_Toc102640369"/>
      <w:bookmarkStart w:id="82" w:name="_Toc102642745"/>
      <w:bookmarkStart w:id="83" w:name="_Toc102642991"/>
      <w:bookmarkStart w:id="84" w:name="_Toc102640308"/>
      <w:bookmarkStart w:id="85" w:name="_Toc102640370"/>
      <w:bookmarkStart w:id="86" w:name="_Toc102642746"/>
      <w:bookmarkStart w:id="87" w:name="_Toc102642992"/>
      <w:bookmarkStart w:id="88" w:name="_Toc102640309"/>
      <w:bookmarkStart w:id="89" w:name="_Toc102640371"/>
      <w:bookmarkStart w:id="90" w:name="_Toc102642747"/>
      <w:bookmarkStart w:id="91" w:name="_Toc102642993"/>
      <w:bookmarkStart w:id="92" w:name="_Toc102640310"/>
      <w:bookmarkStart w:id="93" w:name="_Toc102640372"/>
      <w:bookmarkStart w:id="94" w:name="_Toc102642748"/>
      <w:bookmarkStart w:id="95" w:name="_Toc102642994"/>
      <w:bookmarkStart w:id="96" w:name="_Toc102640311"/>
      <w:bookmarkStart w:id="97" w:name="_Toc102640373"/>
      <w:bookmarkStart w:id="98" w:name="_Toc102642749"/>
      <w:bookmarkStart w:id="99" w:name="_Toc102642995"/>
      <w:bookmarkStart w:id="100" w:name="_Toc228355786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rPr>
          <w:color w:val="1F3763"/>
          <w:lang w:eastAsia="en-US"/>
        </w:rPr>
        <w:lastRenderedPageBreak/>
        <w:t>Iskolai étkeztetés</w:t>
      </w:r>
      <w:bookmarkEnd w:id="100"/>
    </w:p>
    <w:p w:rsidR="00442B0D" w:rsidRDefault="00442B0D" w:rsidP="00442B0D">
      <w:pPr>
        <w:suppressAutoHyphens w:val="0"/>
        <w:spacing w:after="240"/>
        <w:jc w:val="both"/>
        <w:rPr>
          <w:rFonts w:eastAsia="Calibri"/>
          <w:color w:val="000009"/>
          <w:lang w:eastAsia="en-US"/>
        </w:rPr>
      </w:pPr>
      <w:r>
        <w:rPr>
          <w:rFonts w:eastAsia="Calibri"/>
          <w:color w:val="000009"/>
          <w:lang w:eastAsia="en-US"/>
        </w:rPr>
        <w:t>A Nebuló Közétkeztetési Intézmény a 2025. évben 119.378 adag étel állított elő az általános iskolában étkező gyermekek számára.</w:t>
      </w:r>
    </w:p>
    <w:p w:rsidR="00442B0D" w:rsidRDefault="00442B0D" w:rsidP="00442B0D">
      <w:pPr>
        <w:suppressAutoHyphens w:val="0"/>
        <w:spacing w:after="120"/>
        <w:jc w:val="center"/>
        <w:rPr>
          <w:rFonts w:eastAsia="Calibri"/>
          <w:color w:val="auto"/>
          <w:lang w:eastAsia="en-US"/>
        </w:rPr>
      </w:pPr>
      <w:r>
        <w:rPr>
          <w:noProof/>
          <w:lang w:eastAsia="hu-HU"/>
        </w:rPr>
        <w:drawing>
          <wp:inline distT="0" distB="0" distL="0" distR="0">
            <wp:extent cx="5756910" cy="2616200"/>
            <wp:effectExtent l="0" t="0" r="15240" b="12700"/>
            <wp:docPr id="790448827" name="Diagram 790448827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xmlns:lc="http://schemas.openxmlformats.org/drawingml/2006/lockedCanvas" id="{88E283B5-CD8A-40D1-9E8F-A205A626352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:rsidR="00442B0D" w:rsidRDefault="00442B0D" w:rsidP="00442B0D">
      <w:pPr>
        <w:suppressAutoHyphens w:val="0"/>
        <w:spacing w:before="120" w:after="120"/>
        <w:jc w:val="both"/>
        <w:rPr>
          <w:rFonts w:eastAsia="Calibri"/>
          <w:color w:val="auto"/>
          <w:sz w:val="20"/>
          <w:szCs w:val="20"/>
          <w:lang w:eastAsia="en-US"/>
        </w:rPr>
      </w:pPr>
      <w:r>
        <w:rPr>
          <w:rFonts w:eastAsia="Calibri"/>
          <w:color w:val="auto"/>
          <w:sz w:val="20"/>
          <w:szCs w:val="20"/>
          <w:lang w:eastAsia="en-US"/>
        </w:rPr>
        <w:t>(forrás: Nebuló Közétkeztetési Intézmény)</w:t>
      </w:r>
    </w:p>
    <w:p w:rsidR="00442B0D" w:rsidRDefault="00442B0D" w:rsidP="00442B0D">
      <w:pPr>
        <w:suppressAutoHyphens w:val="0"/>
        <w:spacing w:before="240" w:after="24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000009"/>
          <w:lang w:eastAsia="en-US"/>
        </w:rPr>
        <w:t>Az általános iskolai intézményi gyermekétkeztetésben a legtöbb gyermekre a napi háromszori étkezést veszik igénybe a szülők.</w:t>
      </w:r>
    </w:p>
    <w:p w:rsidR="00442B0D" w:rsidRDefault="00442B0D" w:rsidP="00442B0D">
      <w:pPr>
        <w:suppressAutoHyphens w:val="0"/>
        <w:spacing w:after="120"/>
        <w:jc w:val="center"/>
        <w:rPr>
          <w:rFonts w:eastAsia="Calibri"/>
          <w:color w:val="auto"/>
          <w:lang w:eastAsia="en-US"/>
        </w:rPr>
      </w:pPr>
      <w:r>
        <w:rPr>
          <w:noProof/>
          <w:lang w:eastAsia="hu-HU"/>
        </w:rPr>
        <w:drawing>
          <wp:inline distT="0" distB="0" distL="0" distR="0">
            <wp:extent cx="5716905" cy="3418840"/>
            <wp:effectExtent l="0" t="0" r="17145" b="10160"/>
            <wp:docPr id="2101718171" name="Diagram 210171817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xmlns:lc="http://schemas.openxmlformats.org/drawingml/2006/lockedCanvas" id="{F02463EE-3422-4C33-B8A8-65536FBC1CC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:rsidR="00442B0D" w:rsidRDefault="00442B0D" w:rsidP="00442B0D">
      <w:pPr>
        <w:suppressAutoHyphens w:val="0"/>
        <w:spacing w:before="120" w:after="120"/>
        <w:jc w:val="both"/>
        <w:rPr>
          <w:rFonts w:eastAsia="Calibri"/>
          <w:color w:val="auto"/>
          <w:sz w:val="20"/>
          <w:szCs w:val="20"/>
          <w:lang w:eastAsia="en-US"/>
        </w:rPr>
      </w:pPr>
      <w:r>
        <w:rPr>
          <w:rFonts w:eastAsia="Calibri"/>
          <w:color w:val="auto"/>
          <w:sz w:val="20"/>
          <w:szCs w:val="20"/>
          <w:lang w:eastAsia="en-US"/>
        </w:rPr>
        <w:t>(forrás: Nebuló Közétkeztetési Intézmény)</w:t>
      </w:r>
    </w:p>
    <w:p w:rsidR="00442B0D" w:rsidRDefault="00442B0D" w:rsidP="00442B0D">
      <w:pPr>
        <w:suppressAutoHyphens w:val="0"/>
        <w:spacing w:before="240" w:after="240"/>
        <w:jc w:val="both"/>
        <w:rPr>
          <w:rFonts w:eastAsia="Calibri"/>
          <w:color w:val="000009"/>
          <w:lang w:eastAsia="en-US"/>
        </w:rPr>
      </w:pPr>
      <w:r>
        <w:rPr>
          <w:rFonts w:eastAsia="Calibri"/>
          <w:color w:val="000009"/>
          <w:lang w:eastAsia="en-US"/>
        </w:rPr>
        <w:t>Az iskolások számára elkészített 119.378 adag étel 57%-át teljes áron fizették, az adagok 37%-ára 50%-os kedvezmény tudtak igénybe venni a szülők, míg az elfogyasztott adagok 6%-ára vehettek igénybe 100% normatív kedvezményt.</w:t>
      </w:r>
    </w:p>
    <w:p w:rsidR="00442B0D" w:rsidRDefault="00442B0D" w:rsidP="00442B0D">
      <w:pPr>
        <w:suppressAutoHyphens w:val="0"/>
        <w:spacing w:after="120"/>
        <w:jc w:val="center"/>
        <w:rPr>
          <w:rFonts w:eastAsia="Calibri"/>
          <w:color w:val="auto"/>
          <w:lang w:eastAsia="en-US"/>
        </w:rPr>
      </w:pPr>
      <w:r>
        <w:rPr>
          <w:noProof/>
          <w:lang w:eastAsia="hu-HU"/>
        </w:rPr>
        <w:lastRenderedPageBreak/>
        <w:drawing>
          <wp:inline distT="0" distB="0" distL="0" distR="0">
            <wp:extent cx="5017135" cy="3307715"/>
            <wp:effectExtent l="38100" t="0" r="12065" b="6985"/>
            <wp:docPr id="787540271" name="Diagram 78754027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xmlns:lc="http://schemas.openxmlformats.org/drawingml/2006/lockedCanvas" id="{1AD01A2B-01FD-47BA-B439-30C83D1F25D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</w:p>
    <w:p w:rsidR="00442B0D" w:rsidRDefault="00442B0D" w:rsidP="00442B0D">
      <w:pPr>
        <w:suppressAutoHyphens w:val="0"/>
        <w:spacing w:before="120" w:after="120"/>
        <w:jc w:val="both"/>
        <w:rPr>
          <w:rFonts w:eastAsia="Calibri"/>
          <w:color w:val="auto"/>
          <w:sz w:val="20"/>
          <w:szCs w:val="20"/>
          <w:lang w:eastAsia="en-US"/>
        </w:rPr>
      </w:pPr>
      <w:r>
        <w:rPr>
          <w:rFonts w:eastAsia="Calibri"/>
          <w:color w:val="auto"/>
          <w:sz w:val="20"/>
          <w:szCs w:val="20"/>
          <w:lang w:eastAsia="en-US"/>
        </w:rPr>
        <w:t>(forrás: Nebuló Közétkeztetési Intézmény)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sz w:val="22"/>
          <w:szCs w:val="22"/>
          <w:lang w:eastAsia="en-US"/>
        </w:rPr>
      </w:pPr>
      <w:r>
        <w:rPr>
          <w:rFonts w:eastAsia="Calibri"/>
          <w:color w:val="000009"/>
          <w:lang w:eastAsia="en-US"/>
        </w:rPr>
        <w:t>A bölcsődei, óvodai és iskolai gyermekétkeztetés grafikonjaiból kiolvasható, hogy az általános iskolai közétkeztetésben, habár jelentős szerepet játszik a központi normatív támogatás, a kedvezményesen vagy ingyenesen étkezők aránya kisebb, mint az óvodai vagy bölcsődei ellátottak esetében.</w:t>
      </w:r>
    </w:p>
    <w:p w:rsidR="00442B0D" w:rsidRDefault="00442B0D" w:rsidP="00442B0D">
      <w:pPr>
        <w:keepNext/>
        <w:keepLines/>
        <w:numPr>
          <w:ilvl w:val="2"/>
          <w:numId w:val="1"/>
        </w:numPr>
        <w:suppressAutoHyphens w:val="0"/>
        <w:spacing w:before="240" w:after="120" w:line="256" w:lineRule="auto"/>
        <w:outlineLvl w:val="2"/>
        <w:rPr>
          <w:color w:val="1F3763"/>
          <w:lang w:eastAsia="en-US"/>
        </w:rPr>
      </w:pPr>
      <w:bookmarkStart w:id="101" w:name="_Toc133504088"/>
      <w:bookmarkStart w:id="102" w:name="_Toc133504089"/>
      <w:bookmarkStart w:id="103" w:name="_Toc133504090"/>
      <w:bookmarkStart w:id="104" w:name="_Toc133504091"/>
      <w:bookmarkStart w:id="105" w:name="_Toc102640313"/>
      <w:bookmarkStart w:id="106" w:name="_Toc102640375"/>
      <w:bookmarkStart w:id="107" w:name="_Toc102642751"/>
      <w:bookmarkStart w:id="108" w:name="_Toc102642997"/>
      <w:bookmarkStart w:id="109" w:name="_Toc102640314"/>
      <w:bookmarkStart w:id="110" w:name="_Toc102640376"/>
      <w:bookmarkStart w:id="111" w:name="_Toc102642752"/>
      <w:bookmarkStart w:id="112" w:name="_Toc102642998"/>
      <w:bookmarkStart w:id="113" w:name="_Toc102640315"/>
      <w:bookmarkStart w:id="114" w:name="_Toc102640377"/>
      <w:bookmarkStart w:id="115" w:name="_Toc102642753"/>
      <w:bookmarkStart w:id="116" w:name="_Toc102642999"/>
      <w:bookmarkStart w:id="117" w:name="_Toc102640316"/>
      <w:bookmarkStart w:id="118" w:name="_Toc102640378"/>
      <w:bookmarkStart w:id="119" w:name="_Toc102642754"/>
      <w:bookmarkStart w:id="120" w:name="_Toc102643000"/>
      <w:bookmarkStart w:id="121" w:name="_Toc102640317"/>
      <w:bookmarkStart w:id="122" w:name="_Toc102640379"/>
      <w:bookmarkStart w:id="123" w:name="_Toc102642755"/>
      <w:bookmarkStart w:id="124" w:name="_Toc102643001"/>
      <w:bookmarkStart w:id="125" w:name="_Toc102640318"/>
      <w:bookmarkStart w:id="126" w:name="_Toc102640380"/>
      <w:bookmarkStart w:id="127" w:name="_Toc102642756"/>
      <w:bookmarkStart w:id="128" w:name="_Toc102643002"/>
      <w:bookmarkStart w:id="129" w:name="_Toc102640319"/>
      <w:bookmarkStart w:id="130" w:name="_Toc102640381"/>
      <w:bookmarkStart w:id="131" w:name="_Toc102642757"/>
      <w:bookmarkStart w:id="132" w:name="_Toc102643003"/>
      <w:bookmarkStart w:id="133" w:name="_Toc102640320"/>
      <w:bookmarkStart w:id="134" w:name="_Toc102640382"/>
      <w:bookmarkStart w:id="135" w:name="_Toc102642758"/>
      <w:bookmarkStart w:id="136" w:name="_Toc102643004"/>
      <w:bookmarkStart w:id="137" w:name="_Toc102640321"/>
      <w:bookmarkStart w:id="138" w:name="_Toc102640383"/>
      <w:bookmarkStart w:id="139" w:name="_Toc102642759"/>
      <w:bookmarkStart w:id="140" w:name="_Toc102643005"/>
      <w:bookmarkStart w:id="141" w:name="_Toc102640322"/>
      <w:bookmarkStart w:id="142" w:name="_Toc102640384"/>
      <w:bookmarkStart w:id="143" w:name="_Toc102642760"/>
      <w:bookmarkStart w:id="144" w:name="_Toc102643006"/>
      <w:bookmarkStart w:id="145" w:name="_Toc102640323"/>
      <w:bookmarkStart w:id="146" w:name="_Toc102640385"/>
      <w:bookmarkStart w:id="147" w:name="_Toc102642761"/>
      <w:bookmarkStart w:id="148" w:name="_Toc102643007"/>
      <w:bookmarkStart w:id="149" w:name="_Toc228355787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r>
        <w:rPr>
          <w:color w:val="1F3763"/>
          <w:lang w:eastAsia="en-US"/>
        </w:rPr>
        <w:t>Szünidei étkeztetés</w:t>
      </w:r>
      <w:bookmarkEnd w:id="149"/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A rászorulók számára a szünidei gyermekétkeztetést a 2015. évi CCXXIII. törvény 36. § (2) bekezdés c) pontjával módosított a gyermekek védelméről és a gyámügyi igazgatásról szóló 1997. évi XXXI. törvény (Gyvt.) vezette be 2016. január 1. hatállyal. 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Az ellátandó közfeladat jogszabályi alapja a Gyvt. 21. § (1) bekezdés g) pontja. Ugyanezen jogszabály 21/C. § határozza meg a szünidei gyermekétkeztetés keretében kötelezően ellátandó gyermekek körét, valamint az önkormányzat által ilyen ellátásban részesíthető gyermekek körét. 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A Nebuló Közétkeztetési Intézmény szervezi a szünidei gyermekétkeztetést egyedileg csomagolt meleg ételek kiszolgálása formájában. A szünidei gyermekétkeztetés keretében biztosított meleg ebédet a Gyermekjóléti és Családsegítő Szolgálat munkatársai osztják ki a jogosultaknak. </w:t>
      </w:r>
    </w:p>
    <w:p w:rsidR="00442B0D" w:rsidRDefault="00442B0D" w:rsidP="00442B0D">
      <w:pPr>
        <w:suppressAutoHyphens w:val="0"/>
        <w:spacing w:before="120"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Szünidei gyermekétkeztetés keretében tárgyévben összesen 497 adag étel került lefőzésre, melynek túlnyomó részét a nyári szünidő időszakában vettek igénybe a szülők. </w:t>
      </w:r>
    </w:p>
    <w:p w:rsidR="00442B0D" w:rsidRDefault="00442B0D" w:rsidP="00442B0D">
      <w:pPr>
        <w:suppressAutoHyphens w:val="0"/>
        <w:spacing w:before="120" w:after="120"/>
        <w:jc w:val="center"/>
        <w:rPr>
          <w:rFonts w:eastAsia="Calibri"/>
          <w:color w:val="auto"/>
          <w:lang w:eastAsia="en-US"/>
        </w:rPr>
      </w:pPr>
      <w:r>
        <w:rPr>
          <w:noProof/>
          <w:lang w:eastAsia="hu-HU"/>
        </w:rPr>
        <w:lastRenderedPageBreak/>
        <w:drawing>
          <wp:inline distT="0" distB="0" distL="0" distR="0">
            <wp:extent cx="5064760" cy="2568575"/>
            <wp:effectExtent l="0" t="0" r="2540" b="3175"/>
            <wp:docPr id="1496628104" name="Diagram 1496628104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xmlns:lc="http://schemas.openxmlformats.org/drawingml/2006/lockedCanvas" id="{B3745CC8-9516-47FD-8BAA-4F3C1A80C53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</w:p>
    <w:p w:rsidR="00442B0D" w:rsidRDefault="00442B0D" w:rsidP="00442B0D">
      <w:pPr>
        <w:suppressAutoHyphens w:val="0"/>
        <w:spacing w:before="120" w:after="120"/>
        <w:jc w:val="both"/>
        <w:rPr>
          <w:rFonts w:eastAsia="Calibri"/>
          <w:color w:val="auto"/>
          <w:sz w:val="20"/>
          <w:szCs w:val="20"/>
          <w:lang w:eastAsia="en-US"/>
        </w:rPr>
      </w:pPr>
      <w:r>
        <w:rPr>
          <w:rFonts w:eastAsia="Calibri"/>
          <w:color w:val="auto"/>
          <w:sz w:val="20"/>
          <w:szCs w:val="20"/>
          <w:lang w:eastAsia="en-US"/>
        </w:rPr>
        <w:t>(forrás: Nebuló Közétkeztetési Intézmény)</w:t>
      </w:r>
    </w:p>
    <w:p w:rsidR="00442B0D" w:rsidRDefault="00442B0D" w:rsidP="00442B0D">
      <w:pPr>
        <w:suppressAutoHyphens w:val="0"/>
        <w:spacing w:before="120"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A szünidei gyermekétkeztetés keretében igényelt és lefőzött adagok száma a 2024-es év kivételével évek óta tartó csökkenő tendenciát mutat. A szünidei gyermekétkeztetés adagszáma 2025. évben a 2023-as értéket meghaladó új mélypontra ért.  </w:t>
      </w:r>
    </w:p>
    <w:p w:rsidR="00442B0D" w:rsidRDefault="00442B0D" w:rsidP="00442B0D">
      <w:pPr>
        <w:suppressAutoHyphens w:val="0"/>
        <w:spacing w:before="120" w:after="120"/>
        <w:jc w:val="center"/>
        <w:rPr>
          <w:rFonts w:eastAsia="Calibri"/>
          <w:color w:val="auto"/>
          <w:lang w:eastAsia="en-US"/>
        </w:rPr>
      </w:pPr>
      <w:r>
        <w:rPr>
          <w:noProof/>
          <w:lang w:eastAsia="hu-HU"/>
        </w:rPr>
        <w:drawing>
          <wp:inline distT="0" distB="0" distL="0" distR="0">
            <wp:extent cx="5064760" cy="2774950"/>
            <wp:effectExtent l="0" t="0" r="2540" b="6350"/>
            <wp:docPr id="680302089" name="Diagram 680302089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xmlns:lc="http://schemas.openxmlformats.org/drawingml/2006/lockedCanvas" id="{95FC6FEE-83B2-49F8-9E85-FDA0CFA935F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</wp:inline>
        </w:drawing>
      </w:r>
    </w:p>
    <w:p w:rsidR="00442B0D" w:rsidRDefault="00442B0D" w:rsidP="00442B0D">
      <w:pPr>
        <w:suppressAutoHyphens w:val="0"/>
        <w:spacing w:before="120" w:after="120"/>
        <w:jc w:val="both"/>
        <w:rPr>
          <w:rFonts w:eastAsia="Calibri"/>
          <w:color w:val="auto"/>
          <w:sz w:val="20"/>
          <w:szCs w:val="20"/>
          <w:lang w:eastAsia="en-US"/>
        </w:rPr>
      </w:pPr>
      <w:r>
        <w:rPr>
          <w:rFonts w:eastAsia="Calibri"/>
          <w:color w:val="auto"/>
          <w:sz w:val="20"/>
          <w:szCs w:val="20"/>
          <w:lang w:eastAsia="en-US"/>
        </w:rPr>
        <w:t>(forrás: Nebuló Közétkeztetési Intézmény)</w:t>
      </w:r>
    </w:p>
    <w:p w:rsidR="00442B0D" w:rsidRDefault="00442B0D" w:rsidP="00442B0D">
      <w:pPr>
        <w:pStyle w:val="Cmsor1"/>
      </w:pPr>
      <w:bookmarkStart w:id="150" w:name="_Toc133504093"/>
      <w:bookmarkStart w:id="151" w:name="_Toc133504094"/>
      <w:bookmarkStart w:id="152" w:name="_Toc133504095"/>
      <w:bookmarkStart w:id="153" w:name="_Toc133504096"/>
      <w:bookmarkStart w:id="154" w:name="_Toc133504097"/>
      <w:bookmarkStart w:id="155" w:name="_Toc102640325"/>
      <w:bookmarkStart w:id="156" w:name="_Toc102640387"/>
      <w:bookmarkStart w:id="157" w:name="_Toc102642763"/>
      <w:bookmarkStart w:id="158" w:name="_Toc102643009"/>
      <w:bookmarkStart w:id="159" w:name="_Toc228355788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r>
        <w:t>Az önkormányzat által biztosított személyes gondoskodást nyújtó ellátások bemutatása</w:t>
      </w:r>
      <w:bookmarkEnd w:id="159"/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 Gyvt. 14. § (2) és 15. § (2) értelmében a gyermekek védelmét pénzbeli, természetbeni és személyes gondoskodást nyújtó gyermekjóléti alapellátások, illetve gyermekvédelmi szakellátások, valamint e törvényben meghatározott hatósági intézkedések biztosítják. A személyes gondoskodás keretébe tartozó gyermekjóléti alapellátások: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proofErr w:type="gramStart"/>
      <w:r>
        <w:rPr>
          <w:rFonts w:eastAsia="Calibri"/>
          <w:color w:val="auto"/>
          <w:lang w:eastAsia="en-US"/>
        </w:rPr>
        <w:t>a</w:t>
      </w:r>
      <w:proofErr w:type="gramEnd"/>
      <w:r>
        <w:rPr>
          <w:rFonts w:eastAsia="Calibri"/>
          <w:color w:val="auto"/>
          <w:lang w:eastAsia="en-US"/>
        </w:rPr>
        <w:t xml:space="preserve">) </w:t>
      </w:r>
      <w:proofErr w:type="spellStart"/>
      <w:r>
        <w:rPr>
          <w:rFonts w:eastAsia="Calibri"/>
          <w:color w:val="auto"/>
          <w:lang w:eastAsia="en-US"/>
        </w:rPr>
        <w:t>a</w:t>
      </w:r>
      <w:proofErr w:type="spellEnd"/>
      <w:r>
        <w:rPr>
          <w:rFonts w:eastAsia="Calibri"/>
          <w:color w:val="auto"/>
          <w:lang w:eastAsia="en-US"/>
        </w:rPr>
        <w:t xml:space="preserve"> gyermekjóléti szolgáltatás,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b) a gyermekek napközbeni ellátása,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c) a gyermekek átmeneti gondozása,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lastRenderedPageBreak/>
        <w:t>d) gyermekek esélynövelő szolgáltatásai.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 Gyvt. 29. § (1) bekezdése alapján a fenntartó önkormányzat a személyes gondoskodást nyújtó ellátások (a továbbiakban: személyes gondoskodás) formáiról, azok igénybevételéről, valamint a fizetendő térítési díjról rendeletet alkot.  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(2) Ha törvény másként nem rendelkezik, a fenntartó önkormányzat rendeletben szabályozza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proofErr w:type="gramStart"/>
      <w:r>
        <w:rPr>
          <w:rFonts w:eastAsia="Calibri"/>
          <w:color w:val="auto"/>
          <w:lang w:eastAsia="en-US"/>
        </w:rPr>
        <w:t>a</w:t>
      </w:r>
      <w:proofErr w:type="gramEnd"/>
      <w:r>
        <w:rPr>
          <w:rFonts w:eastAsia="Calibri"/>
          <w:color w:val="auto"/>
          <w:lang w:eastAsia="en-US"/>
        </w:rPr>
        <w:t>) az önkormányzat által biztosított személyes gondoskodás formáit,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b) az önkormányzat által biztosított ellátás igénybevételére irányuló kérelem benyújtásának módját és a kérelem elbírálásának szempontjait,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c) az intézményvezető hatáskörében - külön eljárás nélkül - biztosítható ellátásokat,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d) az ellátás megszűnésének eseteit és módjait,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proofErr w:type="gramStart"/>
      <w:r>
        <w:rPr>
          <w:rFonts w:eastAsia="Calibri"/>
          <w:color w:val="auto"/>
          <w:lang w:eastAsia="en-US"/>
        </w:rPr>
        <w:t>e</w:t>
      </w:r>
      <w:proofErr w:type="gramEnd"/>
      <w:r>
        <w:rPr>
          <w:rFonts w:eastAsia="Calibri"/>
          <w:color w:val="auto"/>
          <w:lang w:eastAsia="en-US"/>
        </w:rPr>
        <w:t>) a fizetendő térítési díjak mértékét, csökkentésének és elengedésének eseteit, módjait.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Szigethalom Város Önkormányzat Képviselő-testületének a személyes gondoskodást nyújtó gyermekjóléti ellátásokról szóló 6/2018. (III. 29.) számú rendelete (a továbbiakban: gyermekjóléti alapellátásokról szóló rendelet) szabályozza a személyes gondoskodás formáit. A gyermekek napközbeni ellátását Szigethalom közigazgatási területén a Nobilis Humán Szolgáltató Bölcsőde, a gyermekjóléti szolgáltatásokat a Nobilis Humán Szolgáltató Család- és Gyermekjóléti Szolgálat végzi.</w:t>
      </w:r>
    </w:p>
    <w:p w:rsidR="00442B0D" w:rsidRDefault="00442B0D" w:rsidP="00442B0D">
      <w:pPr>
        <w:keepNext/>
        <w:keepLines/>
        <w:numPr>
          <w:ilvl w:val="1"/>
          <w:numId w:val="1"/>
        </w:numPr>
        <w:suppressAutoHyphens w:val="0"/>
        <w:spacing w:before="240" w:after="240" w:line="256" w:lineRule="auto"/>
        <w:jc w:val="both"/>
        <w:outlineLvl w:val="1"/>
        <w:rPr>
          <w:color w:val="2F5496"/>
          <w:sz w:val="26"/>
          <w:szCs w:val="26"/>
          <w:lang w:eastAsia="en-US"/>
        </w:rPr>
      </w:pPr>
      <w:bookmarkStart w:id="160" w:name="_Toc228355789"/>
      <w:r>
        <w:rPr>
          <w:color w:val="2F5496"/>
          <w:sz w:val="26"/>
          <w:szCs w:val="26"/>
          <w:lang w:eastAsia="en-US"/>
        </w:rPr>
        <w:t xml:space="preserve">Gyermekjóléti szolgáltatás biztosításának módja, működésének tapasztalata (alapellátásban részesülők száma, gyermekek veszélyeztetettségének okai, </w:t>
      </w:r>
      <w:bookmarkStart w:id="161" w:name="_Hlk133562505"/>
      <w:r>
        <w:rPr>
          <w:color w:val="2F5496"/>
          <w:sz w:val="26"/>
          <w:szCs w:val="26"/>
          <w:lang w:eastAsia="en-US"/>
        </w:rPr>
        <w:t>válsághelyzetben levő várandós anyák gondozása, családjából kiemelt gyermek szüleinek gondozása</w:t>
      </w:r>
      <w:bookmarkEnd w:id="161"/>
      <w:r>
        <w:rPr>
          <w:color w:val="2F5496"/>
          <w:sz w:val="26"/>
          <w:szCs w:val="26"/>
          <w:lang w:eastAsia="en-US"/>
        </w:rPr>
        <w:t>, jelzőrendszer tagjaival való együttműködés tapasztalatai)</w:t>
      </w:r>
      <w:bookmarkEnd w:id="160"/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 gyermekjóléti alapellátásokról szóló rendelet 5. § (1) bekezdése alapján az Önkormányzat a Gyvt. 39-40. §</w:t>
      </w:r>
      <w:proofErr w:type="spellStart"/>
      <w:r>
        <w:rPr>
          <w:rFonts w:eastAsia="Calibri"/>
          <w:color w:val="auto"/>
          <w:lang w:eastAsia="en-US"/>
        </w:rPr>
        <w:t>-ban</w:t>
      </w:r>
      <w:proofErr w:type="spellEnd"/>
      <w:r>
        <w:rPr>
          <w:rFonts w:eastAsia="Calibri"/>
          <w:color w:val="auto"/>
          <w:lang w:eastAsia="en-US"/>
        </w:rPr>
        <w:t xml:space="preserve"> meghatározott egyes gyermekjóléti szolgáltatási feladatait – ideértve a családsegítést is - a Gyvt. 40.§ (1) bekezdésében foglaltak szerint a fenntartásában működő Nobilis Humán Szolgáltató költségvetési szerv keretein belül a Családsegítő és Gyermekjóléti Szolgálat (a továbbiakban: Szolgálat) által biztosítja. 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A Szolgálat feladata a gyermekek és családok védelme a szociális munka módszereivel, továbbá más szakemberek bevonásával. A Szolgálat feladatának eredményes ellátása végett szoros együttműködésben áll az önkormányzattal, a felettes szervekkel, társhivatalokkal, civil szervezetekkel. A Szolgálat munkájának célja a prevenció, a gyermekvédelmi problémák feltárása, azok kezelése; a súlyos eseteknél hatósági intézkedés kezdeményezése, mely magában foglalja a védelembe vételt, a nevelésbe vételt, valamint az ideiglenes hatályú elhelyezést. A nevelésbe vétel, valamint az ideiglenes hatályú elhelyezés esetében a gyermeket kiemelik a családjából. 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A kliensek a Szolgálat segítségét igénybe vevő személyek, akik a feltárt gyermekvédelmi probléma megoldására együttműködési megállapodás aláírásával tartósan - legalább 6 hónap időtartamra -, vagy együttműködési megállapodás aláírása nélkül eseti jelleggel tudják igénybe venni a Szolgálat szakértő segítségét. Azokat az eseteket, melyek során nem kötöttek megállapodást, a Szolgálat egyszeri segítségnyújtásként kezeli. Ilyen például az adományközvetítés, ügyintézéshez segítségnyújtás, tanácsadás, információ nyújtása. 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A Család- és Gyermekjóléti Szolgálat tevékenységének bemutatására a Szolgálat által az intézményi beszámolóban rendelkezésre bocsátott adatok kerülnek felhasználásra. 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A Szolgálat 2025-ben 664 klienssel dolgozott együtt, mely 436 család gondozását jelenti. </w:t>
      </w:r>
    </w:p>
    <w:p w:rsidR="00442B0D" w:rsidRDefault="00442B0D" w:rsidP="00442B0D">
      <w:pPr>
        <w:suppressAutoHyphens w:val="0"/>
        <w:spacing w:after="120"/>
        <w:jc w:val="center"/>
        <w:rPr>
          <w:rFonts w:eastAsia="Calibri"/>
          <w:color w:val="auto"/>
          <w:lang w:eastAsia="en-US"/>
        </w:rPr>
      </w:pPr>
      <w:r>
        <w:rPr>
          <w:noProof/>
          <w:lang w:eastAsia="hu-HU"/>
        </w:rPr>
        <w:lastRenderedPageBreak/>
        <w:drawing>
          <wp:inline distT="0" distB="0" distL="0" distR="0">
            <wp:extent cx="4580255" cy="2751455"/>
            <wp:effectExtent l="0" t="0" r="10795" b="10795"/>
            <wp:docPr id="185520902" name="Diagram 185520902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xmlns:lc="http://schemas.openxmlformats.org/drawingml/2006/lockedCanvas" id="{FD6BED09-8491-81E3-A295-F24CDFC6AE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5"/>
              </a:graphicData>
            </a:graphic>
          </wp:inline>
        </w:drawing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 Szolgálat együttműködési megállapodást azokkal a kliensekkel köt, akiket tartósan, legalább 6 hónapon keresztül gondoz. A Szolgálat nem köt együttműködési megállapodást azokkal a személyekkel, akikkel eseti jelleggel kerülnek kapcsolatba. Ide tartozik az adományosztás, a tanácsadás, az ügyintézéshez nyújtott segítség, az információhoz való hozzáférés segítése.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A Szolgálat a gyermekvédelmi jelzőrendszeren keresztül szerez tudomást a gyermekek potenciálisan veszélyeztetett helyzetéről. </w:t>
      </w:r>
    </w:p>
    <w:p w:rsidR="00442B0D" w:rsidRDefault="00442B0D" w:rsidP="00442B0D">
      <w:pPr>
        <w:suppressAutoHyphens w:val="0"/>
        <w:spacing w:before="120"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A lenti ábrán a Szolgálat szolgáltatását igénybe vevő családok száma ismerhető meg a leggyakrabban előforduló problémák szerinti bontásban. A legtöbb érintett családban a gyermek magatartás- illetve teljesítményzavara az elsődleges probléma, de ezt szorosan követi az elhanyagolás és a családon belüli bántalmazás. </w:t>
      </w:r>
    </w:p>
    <w:p w:rsidR="00442B0D" w:rsidRDefault="00442B0D" w:rsidP="00442B0D">
      <w:pPr>
        <w:suppressAutoHyphens w:val="0"/>
        <w:spacing w:before="240" w:after="120"/>
        <w:jc w:val="center"/>
        <w:rPr>
          <w:rFonts w:eastAsia="Calibri"/>
          <w:color w:val="auto"/>
          <w:lang w:eastAsia="en-US"/>
        </w:rPr>
      </w:pPr>
      <w:r>
        <w:rPr>
          <w:noProof/>
          <w:lang w:eastAsia="hu-HU"/>
        </w:rPr>
        <w:drawing>
          <wp:inline distT="0" distB="0" distL="0" distR="0">
            <wp:extent cx="4580255" cy="3482975"/>
            <wp:effectExtent l="0" t="0" r="10795" b="3175"/>
            <wp:docPr id="1315933097" name="Diagram 1315933097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xmlns:lc="http://schemas.openxmlformats.org/drawingml/2006/lockedCanvas" id="{53565CA5-0BC1-269A-5A0E-5DE654CD3C3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6"/>
              </a:graphicData>
            </a:graphic>
          </wp:inline>
        </w:drawing>
      </w:r>
    </w:p>
    <w:p w:rsidR="00442B0D" w:rsidRDefault="00442B0D" w:rsidP="00442B0D">
      <w:pPr>
        <w:suppressAutoHyphens w:val="0"/>
        <w:spacing w:before="240" w:after="120"/>
        <w:jc w:val="both"/>
        <w:rPr>
          <w:rFonts w:eastAsia="Calibri"/>
          <w:color w:val="auto"/>
          <w:lang w:eastAsia="en-US"/>
        </w:rPr>
      </w:pPr>
      <w:bookmarkStart w:id="162" w:name="_Toc133504100"/>
      <w:bookmarkStart w:id="163" w:name="_Toc133504101"/>
      <w:bookmarkStart w:id="164" w:name="_Toc133504102"/>
      <w:bookmarkStart w:id="165" w:name="_Toc133504103"/>
      <w:bookmarkStart w:id="166" w:name="_Toc133504104"/>
      <w:bookmarkStart w:id="167" w:name="_Toc133504105"/>
      <w:bookmarkStart w:id="168" w:name="_Toc133504106"/>
      <w:bookmarkStart w:id="169" w:name="_Toc133504162"/>
      <w:bookmarkStart w:id="170" w:name="_Toc133504169"/>
      <w:bookmarkStart w:id="171" w:name="_Toc133504170"/>
      <w:bookmarkStart w:id="172" w:name="_Toc133504171"/>
      <w:bookmarkStart w:id="173" w:name="_Toc133504172"/>
      <w:bookmarkStart w:id="174" w:name="_Toc133504173"/>
      <w:bookmarkStart w:id="175" w:name="_Toc133504174"/>
      <w:bookmarkStart w:id="176" w:name="_Toc133504175"/>
      <w:bookmarkStart w:id="177" w:name="_Toc102640328"/>
      <w:bookmarkStart w:id="178" w:name="_Toc102640390"/>
      <w:bookmarkStart w:id="179" w:name="_Toc102642766"/>
      <w:bookmarkStart w:id="180" w:name="_Toc102643012"/>
      <w:bookmarkStart w:id="181" w:name="_Toc102640329"/>
      <w:bookmarkStart w:id="182" w:name="_Toc102640391"/>
      <w:bookmarkStart w:id="183" w:name="_Toc102642767"/>
      <w:bookmarkStart w:id="184" w:name="_Toc102643013"/>
      <w:bookmarkStart w:id="185" w:name="_Toc102640330"/>
      <w:bookmarkStart w:id="186" w:name="_Toc102640392"/>
      <w:bookmarkStart w:id="187" w:name="_Toc102642768"/>
      <w:bookmarkStart w:id="188" w:name="_Toc102643014"/>
      <w:bookmarkStart w:id="189" w:name="_Toc102640331"/>
      <w:bookmarkStart w:id="190" w:name="_Toc102640393"/>
      <w:bookmarkStart w:id="191" w:name="_Toc102642769"/>
      <w:bookmarkStart w:id="192" w:name="_Toc102643015"/>
      <w:bookmarkStart w:id="193" w:name="_Toc102640332"/>
      <w:bookmarkStart w:id="194" w:name="_Toc102640394"/>
      <w:bookmarkStart w:id="195" w:name="_Toc102642770"/>
      <w:bookmarkStart w:id="196" w:name="_Toc102643016"/>
      <w:bookmarkStart w:id="197" w:name="_Toc102640333"/>
      <w:bookmarkStart w:id="198" w:name="_Toc102640395"/>
      <w:bookmarkStart w:id="199" w:name="_Toc102642771"/>
      <w:bookmarkStart w:id="200" w:name="_Toc102643017"/>
      <w:bookmarkStart w:id="201" w:name="_Toc102640334"/>
      <w:bookmarkStart w:id="202" w:name="_Toc102640396"/>
      <w:bookmarkStart w:id="203" w:name="_Toc102642772"/>
      <w:bookmarkStart w:id="204" w:name="_Toc102643018"/>
      <w:bookmarkStart w:id="205" w:name="_Toc102640335"/>
      <w:bookmarkStart w:id="206" w:name="_Toc102640397"/>
      <w:bookmarkStart w:id="207" w:name="_Toc102642773"/>
      <w:bookmarkStart w:id="208" w:name="_Toc102643019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r>
        <w:rPr>
          <w:rFonts w:eastAsia="Calibri"/>
          <w:color w:val="auto"/>
          <w:lang w:eastAsia="en-US"/>
        </w:rPr>
        <w:t>Tárgyévben válsághelyzetben levő várandós anya és családjából kiemelt gyermek szüleinek gondozására nem került sor.</w:t>
      </w:r>
    </w:p>
    <w:p w:rsidR="00442B0D" w:rsidRDefault="00442B0D" w:rsidP="00442B0D">
      <w:pPr>
        <w:suppressAutoHyphens w:val="0"/>
        <w:spacing w:before="120"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lastRenderedPageBreak/>
        <w:t>A gyermekvédelmi jelzőrendszer tagjaitól az évben összesen 262 jelzés érkezett a Szolgálathoz. A legtöbb jelzés a köznevelési, illetve szakképző intézményektől származott. 2025-ben jelentősen megnőtt az állampolgárok által tett jelzések száma a korábbi évek adataihoz mérten.</w:t>
      </w:r>
    </w:p>
    <w:p w:rsidR="00442B0D" w:rsidRDefault="00442B0D" w:rsidP="00442B0D">
      <w:pPr>
        <w:suppressAutoHyphens w:val="0"/>
        <w:spacing w:before="240" w:after="120"/>
        <w:jc w:val="both"/>
        <w:rPr>
          <w:rFonts w:ascii="Calibri" w:eastAsia="Calibri" w:hAnsi="Calibri"/>
          <w:color w:val="auto"/>
          <w:sz w:val="22"/>
          <w:szCs w:val="22"/>
          <w:lang w:eastAsia="en-US"/>
        </w:rPr>
      </w:pPr>
      <w:r>
        <w:rPr>
          <w:noProof/>
          <w:lang w:eastAsia="hu-HU"/>
        </w:rPr>
        <w:drawing>
          <wp:inline distT="0" distB="0" distL="0" distR="0">
            <wp:extent cx="5772785" cy="2926080"/>
            <wp:effectExtent l="0" t="0" r="18415" b="7620"/>
            <wp:docPr id="1993376306" name="Diagram 1993376306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xmlns:lc="http://schemas.openxmlformats.org/drawingml/2006/lockedCanvas" id="{A633726D-3FDB-9507-EFE7-0D2976A0741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7"/>
              </a:graphicData>
            </a:graphic>
          </wp:inline>
        </w:drawing>
      </w:r>
    </w:p>
    <w:p w:rsidR="00442B0D" w:rsidRDefault="00442B0D" w:rsidP="00442B0D">
      <w:pPr>
        <w:keepNext/>
        <w:keepLines/>
        <w:numPr>
          <w:ilvl w:val="1"/>
          <w:numId w:val="1"/>
        </w:numPr>
        <w:suppressAutoHyphens w:val="0"/>
        <w:spacing w:before="240" w:after="240" w:line="256" w:lineRule="auto"/>
        <w:jc w:val="both"/>
        <w:outlineLvl w:val="1"/>
        <w:rPr>
          <w:color w:val="2F5496"/>
          <w:sz w:val="26"/>
          <w:szCs w:val="26"/>
          <w:lang w:eastAsia="en-US"/>
        </w:rPr>
      </w:pPr>
      <w:bookmarkStart w:id="209" w:name="_Toc228355790"/>
      <w:r>
        <w:rPr>
          <w:color w:val="2F5496"/>
          <w:sz w:val="26"/>
          <w:szCs w:val="26"/>
          <w:lang w:eastAsia="en-US"/>
        </w:rPr>
        <w:t>Gyermekek napközbeni ellátásának, gyermekek átmeneti gondozásának biztosítása, ezen ellátások igénybevétele, s az ezzel összefüggő tapasztalatok</w:t>
      </w:r>
      <w:bookmarkEnd w:id="209"/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 bölcsődei ellátást a fogyatékos gyermekek ellátásának kivételével, Szigethalom Város Önkormányzat fenntartásában, a Nobilis Humán Szolgáltató költségvetési szerv keretein belül működő Nobilis Humán Szolgáltató Bölcsőde útján a Gyvt., a személyes gondoskodást nyújtó gyermekjóléti, gyermekvédelmi intézmények, valamint személyek szakmai feladatairól és működési feltételeiről szóló 15/1998.(IV.30.) NM rendelet (továbbiakban: NM rendelet) vonatkozó rendelkezései alapján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proofErr w:type="gramStart"/>
      <w:r>
        <w:rPr>
          <w:rFonts w:eastAsia="Calibri"/>
          <w:color w:val="auto"/>
          <w:lang w:eastAsia="en-US"/>
        </w:rPr>
        <w:t>a</w:t>
      </w:r>
      <w:proofErr w:type="gramEnd"/>
      <w:r>
        <w:rPr>
          <w:rFonts w:eastAsia="Calibri"/>
          <w:color w:val="auto"/>
          <w:lang w:eastAsia="en-US"/>
        </w:rPr>
        <w:t>) önálló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b) napos bölcsődeként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c) egyéves kortól a gyermek 3. életévének betöltéséig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d) a 3. életévét betöltött gyermek esetén az NM rendelet 36. § (2) bekezdésében fennálló helyzet esetén, az ott meghatározott időpontig biztosítja.</w:t>
      </w:r>
    </w:p>
    <w:p w:rsidR="00442B0D" w:rsidRDefault="00442B0D" w:rsidP="00442B0D">
      <w:pPr>
        <w:suppressAutoHyphens w:val="0"/>
        <w:spacing w:after="24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A bölcsőde három gondozási egységben, összesen 11 működő csoportban, 154 férőhelyet biztosít. A Váci Mihály utcai Cinege bölcsőde 2025. elején kezdte meg működését. </w:t>
      </w:r>
    </w:p>
    <w:p w:rsidR="00442B0D" w:rsidRDefault="00442B0D" w:rsidP="00442B0D">
      <w:pPr>
        <w:suppressAutoHyphens w:val="0"/>
        <w:spacing w:after="24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2025-ben 110 beiratkozási kérelem érkezett az intézménybe. A megnövekedett férőhelynek és a visszamondott ellátási kérelmeknek köszönhetően az összes jelentkező felvételt nyert az intézménybe. A Bölcsődében a Nebuló Közétkeztetési Intézmény biztosítja az étkezést.</w:t>
      </w:r>
    </w:p>
    <w:p w:rsidR="00442B0D" w:rsidRDefault="00442B0D" w:rsidP="00442B0D">
      <w:pPr>
        <w:suppressAutoHyphens w:val="0"/>
        <w:spacing w:before="120" w:after="120"/>
        <w:jc w:val="center"/>
        <w:rPr>
          <w:rFonts w:eastAsia="Calibri"/>
          <w:color w:val="auto"/>
          <w:lang w:eastAsia="en-US"/>
        </w:rPr>
      </w:pPr>
      <w:r>
        <w:rPr>
          <w:noProof/>
          <w:lang w:eastAsia="hu-HU"/>
        </w:rPr>
        <w:lastRenderedPageBreak/>
        <w:drawing>
          <wp:inline distT="0" distB="0" distL="0" distR="0">
            <wp:extent cx="5088890" cy="3220085"/>
            <wp:effectExtent l="0" t="0" r="16510" b="18415"/>
            <wp:docPr id="675261194" name="Diagram 675261194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xmlns:lc="http://schemas.openxmlformats.org/drawingml/2006/lockedCanvas" id="{BB6003BC-6084-20DC-A214-03DCF9D869B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8"/>
              </a:graphicData>
            </a:graphic>
          </wp:inline>
        </w:drawing>
      </w:r>
    </w:p>
    <w:p w:rsidR="00442B0D" w:rsidRDefault="00442B0D" w:rsidP="00442B0D">
      <w:pPr>
        <w:suppressAutoHyphens w:val="0"/>
        <w:spacing w:before="240"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 bölcsődei étkeztetésnél a normatív kedvezményre való jogosultság leggyakoribb oka a jövedelmi helyzet és a 3 vagy annál több gyermek egy családon belül.</w:t>
      </w:r>
    </w:p>
    <w:tbl>
      <w:tblPr>
        <w:tblStyle w:val="Vilgosrcs6jellszn1"/>
        <w:tblpPr w:leftFromText="141" w:rightFromText="141" w:vertAnchor="text" w:horzAnchor="margin" w:tblpXSpec="center" w:tblpY="61"/>
        <w:tblW w:w="8368" w:type="dxa"/>
        <w:tblInd w:w="0" w:type="dxa"/>
        <w:tblLook w:val="04A0" w:firstRow="1" w:lastRow="0" w:firstColumn="1" w:lastColumn="0" w:noHBand="0" w:noVBand="1"/>
      </w:tblPr>
      <w:tblGrid>
        <w:gridCol w:w="5336"/>
        <w:gridCol w:w="3032"/>
      </w:tblGrid>
      <w:tr w:rsidR="00442B0D" w:rsidTr="00442B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6" w:type="dxa"/>
            <w:hideMark/>
          </w:tcPr>
          <w:p w:rsidR="00442B0D" w:rsidRDefault="00442B0D">
            <w:pPr>
              <w:suppressAutoHyphens w:val="0"/>
              <w:spacing w:after="120"/>
              <w:rPr>
                <w:lang w:eastAsia="hu-HU"/>
              </w:rPr>
            </w:pPr>
            <w:r>
              <w:rPr>
                <w:lang w:eastAsia="hu-HU"/>
              </w:rPr>
              <w:t>Étkezés során normatív kedvezményre való jogosultág indoka</w:t>
            </w:r>
            <w:r>
              <w:rPr>
                <w:lang w:eastAsia="hu-HU"/>
              </w:rPr>
              <w:br/>
            </w:r>
          </w:p>
        </w:tc>
        <w:tc>
          <w:tcPr>
            <w:tcW w:w="3032" w:type="dxa"/>
            <w:hideMark/>
          </w:tcPr>
          <w:p w:rsidR="00442B0D" w:rsidRDefault="00442B0D">
            <w:pPr>
              <w:suppressAutoHyphens w:val="0"/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hu-HU"/>
              </w:rPr>
            </w:pPr>
            <w:r>
              <w:rPr>
                <w:color w:val="auto"/>
                <w:lang w:eastAsia="hu-HU"/>
              </w:rPr>
              <w:t>2025. év során összesen (fő)</w:t>
            </w:r>
          </w:p>
        </w:tc>
      </w:tr>
      <w:tr w:rsidR="00442B0D" w:rsidTr="00442B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6" w:type="dxa"/>
            <w:vAlign w:val="center"/>
            <w:hideMark/>
          </w:tcPr>
          <w:p w:rsidR="00442B0D" w:rsidRDefault="00442B0D">
            <w:pPr>
              <w:suppressAutoHyphens w:val="0"/>
              <w:spacing w:after="120"/>
              <w:rPr>
                <w:lang w:eastAsia="hu-HU"/>
              </w:rPr>
            </w:pPr>
            <w:r>
              <w:rPr>
                <w:lang w:eastAsia="hu-HU"/>
              </w:rPr>
              <w:t>Rendszeres Gyermekvédelmi Támogatásban részesül</w:t>
            </w:r>
          </w:p>
        </w:tc>
        <w:tc>
          <w:tcPr>
            <w:tcW w:w="3032" w:type="dxa"/>
            <w:noWrap/>
            <w:vAlign w:val="center"/>
            <w:hideMark/>
          </w:tcPr>
          <w:p w:rsidR="00442B0D" w:rsidRDefault="00442B0D">
            <w:pPr>
              <w:suppressAutoHyphens w:val="0"/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hu-HU"/>
              </w:rPr>
            </w:pPr>
            <w:r>
              <w:rPr>
                <w:lang w:eastAsia="hu-HU"/>
              </w:rPr>
              <w:t>2</w:t>
            </w:r>
          </w:p>
        </w:tc>
      </w:tr>
      <w:tr w:rsidR="00442B0D" w:rsidTr="00442B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6" w:type="dxa"/>
            <w:noWrap/>
            <w:vAlign w:val="center"/>
            <w:hideMark/>
          </w:tcPr>
          <w:p w:rsidR="00442B0D" w:rsidRDefault="00442B0D">
            <w:pPr>
              <w:suppressAutoHyphens w:val="0"/>
              <w:spacing w:after="120"/>
              <w:rPr>
                <w:lang w:eastAsia="hu-HU"/>
              </w:rPr>
            </w:pPr>
            <w:r>
              <w:rPr>
                <w:lang w:eastAsia="hu-HU"/>
              </w:rPr>
              <w:t>Tartós beteg</w:t>
            </w:r>
          </w:p>
        </w:tc>
        <w:tc>
          <w:tcPr>
            <w:tcW w:w="3032" w:type="dxa"/>
            <w:noWrap/>
            <w:vAlign w:val="center"/>
            <w:hideMark/>
          </w:tcPr>
          <w:p w:rsidR="00442B0D" w:rsidRDefault="00442B0D">
            <w:pPr>
              <w:suppressAutoHyphens w:val="0"/>
              <w:spacing w:after="1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hu-HU"/>
              </w:rPr>
            </w:pPr>
            <w:r>
              <w:rPr>
                <w:lang w:eastAsia="hu-HU"/>
              </w:rPr>
              <w:t>11</w:t>
            </w:r>
          </w:p>
        </w:tc>
      </w:tr>
      <w:tr w:rsidR="00442B0D" w:rsidTr="00442B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6" w:type="dxa"/>
            <w:noWrap/>
            <w:vAlign w:val="center"/>
            <w:hideMark/>
          </w:tcPr>
          <w:p w:rsidR="00442B0D" w:rsidRDefault="00442B0D">
            <w:pPr>
              <w:suppressAutoHyphens w:val="0"/>
              <w:spacing w:after="120"/>
              <w:rPr>
                <w:lang w:eastAsia="hu-HU"/>
              </w:rPr>
            </w:pPr>
            <w:r>
              <w:rPr>
                <w:lang w:eastAsia="hu-HU"/>
              </w:rPr>
              <w:t>3 vagy több gyermekes családok</w:t>
            </w:r>
          </w:p>
        </w:tc>
        <w:tc>
          <w:tcPr>
            <w:tcW w:w="3032" w:type="dxa"/>
            <w:noWrap/>
            <w:vAlign w:val="center"/>
            <w:hideMark/>
          </w:tcPr>
          <w:p w:rsidR="00442B0D" w:rsidRDefault="00442B0D">
            <w:pPr>
              <w:suppressAutoHyphens w:val="0"/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hu-HU"/>
              </w:rPr>
            </w:pPr>
            <w:r>
              <w:rPr>
                <w:lang w:eastAsia="hu-HU"/>
              </w:rPr>
              <w:t>47</w:t>
            </w:r>
          </w:p>
        </w:tc>
      </w:tr>
      <w:tr w:rsidR="00442B0D" w:rsidTr="00442B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6" w:type="dxa"/>
            <w:noWrap/>
            <w:vAlign w:val="center"/>
            <w:hideMark/>
          </w:tcPr>
          <w:p w:rsidR="00442B0D" w:rsidRDefault="00442B0D">
            <w:pPr>
              <w:suppressAutoHyphens w:val="0"/>
              <w:spacing w:after="120"/>
              <w:rPr>
                <w:lang w:eastAsia="hu-HU"/>
              </w:rPr>
            </w:pPr>
            <w:r>
              <w:rPr>
                <w:lang w:eastAsia="hu-HU"/>
              </w:rPr>
              <w:t>Jövedelem helyzet</w:t>
            </w:r>
          </w:p>
        </w:tc>
        <w:tc>
          <w:tcPr>
            <w:tcW w:w="3032" w:type="dxa"/>
            <w:noWrap/>
            <w:vAlign w:val="center"/>
            <w:hideMark/>
          </w:tcPr>
          <w:p w:rsidR="00442B0D" w:rsidRDefault="00442B0D">
            <w:pPr>
              <w:suppressAutoHyphens w:val="0"/>
              <w:spacing w:after="1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hu-HU"/>
              </w:rPr>
            </w:pPr>
            <w:r>
              <w:rPr>
                <w:lang w:eastAsia="hu-HU"/>
              </w:rPr>
              <w:t>93</w:t>
            </w:r>
          </w:p>
        </w:tc>
      </w:tr>
      <w:tr w:rsidR="00442B0D" w:rsidTr="00442B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6" w:type="dxa"/>
            <w:noWrap/>
            <w:vAlign w:val="center"/>
            <w:hideMark/>
          </w:tcPr>
          <w:p w:rsidR="00442B0D" w:rsidRDefault="00442B0D">
            <w:pPr>
              <w:suppressAutoHyphens w:val="0"/>
              <w:spacing w:after="120"/>
              <w:rPr>
                <w:lang w:eastAsia="hu-HU"/>
              </w:rPr>
            </w:pPr>
            <w:r>
              <w:rPr>
                <w:lang w:eastAsia="hu-HU"/>
              </w:rPr>
              <w:t>Nevelésbe vett</w:t>
            </w:r>
          </w:p>
        </w:tc>
        <w:tc>
          <w:tcPr>
            <w:tcW w:w="3032" w:type="dxa"/>
            <w:noWrap/>
            <w:vAlign w:val="center"/>
            <w:hideMark/>
          </w:tcPr>
          <w:p w:rsidR="00442B0D" w:rsidRDefault="00442B0D">
            <w:pPr>
              <w:suppressAutoHyphens w:val="0"/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hu-HU"/>
              </w:rPr>
            </w:pPr>
            <w:r>
              <w:rPr>
                <w:lang w:eastAsia="hu-HU"/>
              </w:rPr>
              <w:t>0</w:t>
            </w:r>
          </w:p>
        </w:tc>
      </w:tr>
      <w:tr w:rsidR="00442B0D" w:rsidTr="00442B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6" w:type="dxa"/>
            <w:noWrap/>
            <w:vAlign w:val="center"/>
            <w:hideMark/>
          </w:tcPr>
          <w:p w:rsidR="00442B0D" w:rsidRDefault="00442B0D">
            <w:pPr>
              <w:suppressAutoHyphens w:val="0"/>
              <w:spacing w:after="120"/>
              <w:rPr>
                <w:lang w:eastAsia="hu-HU"/>
              </w:rPr>
            </w:pPr>
            <w:r>
              <w:rPr>
                <w:lang w:eastAsia="hu-HU"/>
              </w:rPr>
              <w:t>Hátrányos helyzetű</w:t>
            </w:r>
          </w:p>
        </w:tc>
        <w:tc>
          <w:tcPr>
            <w:tcW w:w="3032" w:type="dxa"/>
            <w:noWrap/>
            <w:vAlign w:val="center"/>
            <w:hideMark/>
          </w:tcPr>
          <w:p w:rsidR="00442B0D" w:rsidRDefault="00442B0D">
            <w:pPr>
              <w:suppressAutoHyphens w:val="0"/>
              <w:spacing w:after="1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hu-HU"/>
              </w:rPr>
            </w:pPr>
            <w:r>
              <w:rPr>
                <w:lang w:eastAsia="hu-HU"/>
              </w:rPr>
              <w:t>0</w:t>
            </w:r>
          </w:p>
        </w:tc>
      </w:tr>
      <w:tr w:rsidR="00442B0D" w:rsidTr="00442B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6" w:type="dxa"/>
            <w:noWrap/>
            <w:vAlign w:val="center"/>
            <w:hideMark/>
          </w:tcPr>
          <w:p w:rsidR="00442B0D" w:rsidRDefault="00442B0D">
            <w:pPr>
              <w:suppressAutoHyphens w:val="0"/>
              <w:spacing w:after="120"/>
              <w:rPr>
                <w:lang w:eastAsia="hu-HU"/>
              </w:rPr>
            </w:pPr>
            <w:r>
              <w:rPr>
                <w:lang w:eastAsia="hu-HU"/>
              </w:rPr>
              <w:t>Vállalta az étkezési térítésdíjat</w:t>
            </w:r>
          </w:p>
        </w:tc>
        <w:tc>
          <w:tcPr>
            <w:tcW w:w="3032" w:type="dxa"/>
            <w:noWrap/>
            <w:vAlign w:val="center"/>
            <w:hideMark/>
          </w:tcPr>
          <w:p w:rsidR="00442B0D" w:rsidRDefault="00442B0D">
            <w:pPr>
              <w:suppressAutoHyphens w:val="0"/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hu-HU"/>
              </w:rPr>
            </w:pPr>
            <w:r>
              <w:rPr>
                <w:lang w:eastAsia="hu-HU"/>
              </w:rPr>
              <w:t>50</w:t>
            </w:r>
          </w:p>
        </w:tc>
      </w:tr>
      <w:tr w:rsidR="00442B0D" w:rsidTr="00442B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6" w:type="dxa"/>
            <w:noWrap/>
            <w:vAlign w:val="center"/>
            <w:hideMark/>
          </w:tcPr>
          <w:p w:rsidR="00442B0D" w:rsidRDefault="00442B0D">
            <w:pPr>
              <w:suppressAutoHyphens w:val="0"/>
              <w:spacing w:after="120"/>
              <w:rPr>
                <w:lang w:eastAsia="hu-HU"/>
              </w:rPr>
            </w:pPr>
            <w:r>
              <w:rPr>
                <w:lang w:eastAsia="hu-HU"/>
              </w:rPr>
              <w:t>Speciális diétás ebéd</w:t>
            </w:r>
          </w:p>
        </w:tc>
        <w:tc>
          <w:tcPr>
            <w:tcW w:w="3032" w:type="dxa"/>
            <w:noWrap/>
            <w:vAlign w:val="center"/>
            <w:hideMark/>
          </w:tcPr>
          <w:p w:rsidR="00442B0D" w:rsidRDefault="00442B0D">
            <w:pPr>
              <w:suppressAutoHyphens w:val="0"/>
              <w:spacing w:after="1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hu-HU"/>
              </w:rPr>
            </w:pPr>
            <w:r>
              <w:rPr>
                <w:lang w:eastAsia="hu-HU"/>
              </w:rPr>
              <w:t>0</w:t>
            </w:r>
          </w:p>
        </w:tc>
      </w:tr>
    </w:tbl>
    <w:p w:rsidR="00442B0D" w:rsidRDefault="00442B0D" w:rsidP="00442B0D">
      <w:pPr>
        <w:suppressAutoHyphens w:val="0"/>
        <w:spacing w:after="120"/>
        <w:rPr>
          <w:rFonts w:eastAsia="Calibri"/>
          <w:color w:val="auto"/>
          <w:sz w:val="20"/>
          <w:szCs w:val="20"/>
          <w:lang w:eastAsia="en-US"/>
        </w:rPr>
      </w:pPr>
      <w:r>
        <w:rPr>
          <w:rFonts w:eastAsia="Calibri"/>
          <w:color w:val="auto"/>
          <w:sz w:val="20"/>
          <w:szCs w:val="20"/>
          <w:lang w:eastAsia="en-US"/>
        </w:rPr>
        <w:t>(forrás: Nobilis Humán Szolgáltató)</w:t>
      </w:r>
    </w:p>
    <w:p w:rsidR="00442B0D" w:rsidRDefault="00442B0D" w:rsidP="00442B0D">
      <w:pPr>
        <w:pStyle w:val="Cmsor1"/>
      </w:pPr>
      <w:bookmarkStart w:id="210" w:name="_Toc133504177"/>
      <w:bookmarkStart w:id="211" w:name="_Toc133504178"/>
      <w:bookmarkStart w:id="212" w:name="_Toc133504179"/>
      <w:bookmarkStart w:id="213" w:name="_Toc133504180"/>
      <w:bookmarkStart w:id="214" w:name="_Toc133504205"/>
      <w:bookmarkStart w:id="215" w:name="_Toc133504206"/>
      <w:bookmarkStart w:id="216" w:name="_Toc133504207"/>
      <w:bookmarkStart w:id="217" w:name="_Toc133504208"/>
      <w:bookmarkStart w:id="218" w:name="_Toc133504209"/>
      <w:bookmarkStart w:id="219" w:name="_Toc133504210"/>
      <w:bookmarkStart w:id="220" w:name="_Toc133504211"/>
      <w:bookmarkStart w:id="221" w:name="_Toc133504212"/>
      <w:bookmarkStart w:id="222" w:name="_Toc133504213"/>
      <w:bookmarkStart w:id="223" w:name="_Toc133504214"/>
      <w:bookmarkStart w:id="224" w:name="_Toc133504215"/>
      <w:bookmarkStart w:id="225" w:name="_Toc133504216"/>
      <w:bookmarkStart w:id="226" w:name="_Toc228355791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r>
        <w:lastRenderedPageBreak/>
        <w:t>A felügyeleti szervek által gyámhatósági, gyermekvédelmi területen végzett szakmai ellenőrzések tapasztalatainak, továbbá a gyermekjóléti és gyermekvédelmi szolgáltató tevékenységet végzők ellenőrzésének alkalmával tett megállapítások bemutatása</w:t>
      </w:r>
      <w:bookmarkEnd w:id="226"/>
    </w:p>
    <w:p w:rsidR="00442B0D" w:rsidRDefault="00442B0D" w:rsidP="00442B0D">
      <w:pPr>
        <w:keepNext/>
        <w:keepLines/>
        <w:numPr>
          <w:ilvl w:val="1"/>
          <w:numId w:val="1"/>
        </w:numPr>
        <w:suppressAutoHyphens w:val="0"/>
        <w:spacing w:before="240" w:after="240" w:line="256" w:lineRule="auto"/>
        <w:ind w:left="567" w:hanging="425"/>
        <w:outlineLvl w:val="1"/>
        <w:rPr>
          <w:color w:val="2F5496"/>
          <w:sz w:val="26"/>
          <w:szCs w:val="26"/>
          <w:lang w:eastAsia="en-US"/>
        </w:rPr>
      </w:pPr>
      <w:bookmarkStart w:id="227" w:name="_Toc228355792"/>
      <w:r>
        <w:rPr>
          <w:color w:val="2F5496"/>
          <w:sz w:val="26"/>
          <w:szCs w:val="26"/>
          <w:lang w:eastAsia="en-US"/>
        </w:rPr>
        <w:t>Nebuló Közétkeztetési Intézmény</w:t>
      </w:r>
      <w:bookmarkEnd w:id="227"/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A Pest Megyei Kormányhivatal Szigetszentmiklósi Járási Hivatalának Népegészségügyi Osztálya tartott ellenőrzést a Nebuló által a Szigethalmi Egyesített Népjóléti Intézményben működtetett tálalókonyhájában a 2025-ös év folyamán. 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 Nebuló 2025. évi szakmai beszámolójából származó alábbi táblázat részletezi az ellenőrzés során tett megállapításokat.</w:t>
      </w:r>
    </w:p>
    <w:tbl>
      <w:tblPr>
        <w:tblStyle w:val="Rcsostblzat1"/>
        <w:tblW w:w="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3260"/>
        <w:gridCol w:w="3402"/>
      </w:tblGrid>
      <w:tr w:rsidR="00442B0D" w:rsidTr="00442B0D">
        <w:trPr>
          <w:cantSplit/>
          <w:trHeight w:val="113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42B0D" w:rsidRDefault="00442B0D">
            <w:pPr>
              <w:suppressAutoHyphens w:val="0"/>
              <w:jc w:val="center"/>
              <w:rPr>
                <w:rFonts w:eastAsia="Calibri"/>
                <w:b/>
                <w:bCs/>
                <w:color w:val="auto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42B0D" w:rsidRDefault="00442B0D">
            <w:pPr>
              <w:suppressAutoHyphens w:val="0"/>
              <w:jc w:val="center"/>
              <w:rPr>
                <w:rFonts w:eastAsia="Calibri"/>
                <w:b/>
                <w:bCs/>
                <w:color w:val="auto"/>
                <w:lang w:eastAsia="en-US"/>
              </w:rPr>
            </w:pPr>
            <w:r>
              <w:rPr>
                <w:rFonts w:eastAsia="Calibri"/>
                <w:b/>
                <w:bCs/>
                <w:color w:val="auto"/>
                <w:lang w:eastAsia="en-US"/>
              </w:rPr>
              <w:t>Határozat száma, eljáró hatóság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42B0D" w:rsidRDefault="00442B0D">
            <w:pPr>
              <w:suppressAutoHyphens w:val="0"/>
              <w:jc w:val="center"/>
              <w:rPr>
                <w:rFonts w:eastAsia="Calibri"/>
                <w:b/>
                <w:bCs/>
                <w:color w:val="auto"/>
                <w:lang w:eastAsia="en-US"/>
              </w:rPr>
            </w:pPr>
            <w:r>
              <w:rPr>
                <w:rFonts w:eastAsia="Calibri"/>
                <w:b/>
                <w:bCs/>
                <w:color w:val="auto"/>
                <w:lang w:eastAsia="en-US"/>
              </w:rPr>
              <w:t>Vizsgálat tárgya, helyszíne, ideje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42B0D" w:rsidRDefault="00442B0D">
            <w:pPr>
              <w:suppressAutoHyphens w:val="0"/>
              <w:jc w:val="center"/>
              <w:rPr>
                <w:rFonts w:eastAsia="Calibri"/>
                <w:b/>
                <w:bCs/>
                <w:color w:val="auto"/>
                <w:lang w:eastAsia="en-US"/>
              </w:rPr>
            </w:pPr>
            <w:r>
              <w:rPr>
                <w:rFonts w:eastAsia="Calibri"/>
                <w:b/>
                <w:bCs/>
                <w:color w:val="auto"/>
                <w:lang w:eastAsia="en-US"/>
              </w:rPr>
              <w:t>Főbb megállapítások</w:t>
            </w:r>
          </w:p>
        </w:tc>
      </w:tr>
      <w:tr w:rsidR="00442B0D" w:rsidTr="00442B0D">
        <w:trPr>
          <w:cantSplit/>
          <w:trHeight w:val="1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B0D" w:rsidRDefault="00442B0D">
            <w:pPr>
              <w:suppressAutoHyphens w:val="0"/>
              <w:jc w:val="center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2B0D" w:rsidRDefault="00442B0D">
            <w:pPr>
              <w:suppressAutoHyphens w:val="0"/>
              <w:ind w:left="113" w:right="113"/>
              <w:jc w:val="center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PE-15/NEO/0249-5/2025.</w:t>
            </w:r>
          </w:p>
          <w:p w:rsidR="00442B0D" w:rsidRDefault="00442B0D">
            <w:pPr>
              <w:suppressAutoHyphens w:val="0"/>
              <w:ind w:left="113" w:right="113"/>
              <w:jc w:val="center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Pest Megyei Kormányhivatal, Szigetszentmiklósi Járási Hivatal, Népegészségügyi Osztály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B0D" w:rsidRDefault="00442B0D" w:rsidP="0044479D">
            <w:pPr>
              <w:numPr>
                <w:ilvl w:val="0"/>
                <w:numId w:val="6"/>
              </w:numPr>
              <w:suppressAutoHyphens w:val="0"/>
              <w:ind w:left="303" w:hanging="303"/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 xml:space="preserve">A Szigethalom Egyesített Népjóléti Intézmény ellenőrzésének keretében a Hatóság vizsgálta a tálalókonyhát, valamint az időskorúak ellátása keretében nyújtott táplálkozás-egészségügyi ellenőrzést folytatott </w:t>
            </w:r>
          </w:p>
          <w:p w:rsidR="00442B0D" w:rsidRDefault="00442B0D" w:rsidP="0044479D">
            <w:pPr>
              <w:numPr>
                <w:ilvl w:val="0"/>
                <w:numId w:val="6"/>
              </w:numPr>
              <w:suppressAutoHyphens w:val="0"/>
              <w:ind w:left="303" w:hanging="303"/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Szigethalom Egyesített Népjóléti Intézmény (2315 Szigethalom, Rákóczi u. 147.)</w:t>
            </w:r>
          </w:p>
          <w:p w:rsidR="00442B0D" w:rsidRDefault="00442B0D" w:rsidP="0044479D">
            <w:pPr>
              <w:numPr>
                <w:ilvl w:val="0"/>
                <w:numId w:val="6"/>
              </w:numPr>
              <w:suppressAutoHyphens w:val="0"/>
              <w:ind w:left="303" w:hanging="303"/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2025.09.02.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B0D" w:rsidRDefault="00442B0D" w:rsidP="0044479D">
            <w:pPr>
              <w:numPr>
                <w:ilvl w:val="0"/>
                <w:numId w:val="7"/>
              </w:numPr>
              <w:suppressAutoHyphens w:val="0"/>
              <w:ind w:left="333" w:hanging="244"/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A hatóság szakemberei a rendelkezésükre bocsátott étlapok alapján étrend táplálkozás-egészségügyi értékelést végeztek, melynek során megállapították, hogy az étkeztetés biztosításával kapcsolatban intézkedésre okot adó hiányosságok nem merültek fel, az étrend megfelelt a 37/2014. (VI.30.) EMMI rendelet előírásainak.</w:t>
            </w:r>
          </w:p>
          <w:p w:rsidR="00442B0D" w:rsidRDefault="00442B0D" w:rsidP="0044479D">
            <w:pPr>
              <w:numPr>
                <w:ilvl w:val="0"/>
                <w:numId w:val="7"/>
              </w:numPr>
              <w:suppressAutoHyphens w:val="0"/>
              <w:ind w:left="333" w:hanging="244"/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A konyha közegészségügyi szempontból megfelelő volt, hiányosságként a sérült falazatot és padozatot említik, a Városgazdálkodási Iroda munkatársai felmérték a hiányosságokat, javításuk a 2026.-os év során várható. .</w:t>
            </w:r>
          </w:p>
        </w:tc>
      </w:tr>
    </w:tbl>
    <w:p w:rsidR="00442B0D" w:rsidRDefault="00442B0D" w:rsidP="00442B0D">
      <w:pPr>
        <w:keepNext/>
        <w:keepLines/>
        <w:suppressAutoHyphens w:val="0"/>
        <w:spacing w:before="240" w:after="240" w:line="256" w:lineRule="auto"/>
        <w:ind w:left="432" w:hanging="432"/>
        <w:outlineLvl w:val="0"/>
        <w:rPr>
          <w:vanish/>
          <w:color w:val="2F5496"/>
          <w:sz w:val="32"/>
          <w:szCs w:val="32"/>
          <w:lang w:eastAsia="en-US"/>
        </w:rPr>
      </w:pPr>
      <w:bookmarkStart w:id="228" w:name="_Toc166061577"/>
      <w:bookmarkStart w:id="229" w:name="_Toc197350157"/>
      <w:bookmarkEnd w:id="228"/>
      <w:bookmarkEnd w:id="229"/>
    </w:p>
    <w:p w:rsidR="00442B0D" w:rsidRDefault="00442B0D" w:rsidP="00442B0D">
      <w:pPr>
        <w:keepNext/>
        <w:keepLines/>
        <w:suppressAutoHyphens w:val="0"/>
        <w:spacing w:before="240" w:after="240" w:line="256" w:lineRule="auto"/>
        <w:ind w:left="432" w:hanging="432"/>
        <w:outlineLvl w:val="0"/>
        <w:rPr>
          <w:vanish/>
          <w:color w:val="2F5496"/>
          <w:sz w:val="32"/>
          <w:szCs w:val="32"/>
          <w:lang w:eastAsia="en-US"/>
        </w:rPr>
      </w:pPr>
      <w:bookmarkStart w:id="230" w:name="_Toc166061578"/>
      <w:bookmarkStart w:id="231" w:name="_Toc197350158"/>
      <w:bookmarkEnd w:id="230"/>
      <w:bookmarkEnd w:id="231"/>
    </w:p>
    <w:p w:rsidR="00442B0D" w:rsidRDefault="00442B0D" w:rsidP="00442B0D">
      <w:pPr>
        <w:keepNext/>
        <w:keepLines/>
        <w:suppressAutoHyphens w:val="0"/>
        <w:spacing w:before="240" w:after="240" w:line="256" w:lineRule="auto"/>
        <w:ind w:left="432" w:hanging="432"/>
        <w:outlineLvl w:val="0"/>
        <w:rPr>
          <w:vanish/>
          <w:color w:val="2F5496"/>
          <w:sz w:val="32"/>
          <w:szCs w:val="32"/>
          <w:lang w:eastAsia="en-US"/>
        </w:rPr>
      </w:pPr>
      <w:bookmarkStart w:id="232" w:name="_Toc166061579"/>
      <w:bookmarkStart w:id="233" w:name="_Toc197350159"/>
      <w:bookmarkEnd w:id="232"/>
      <w:bookmarkEnd w:id="233"/>
    </w:p>
    <w:p w:rsidR="00442B0D" w:rsidRDefault="00442B0D" w:rsidP="00442B0D">
      <w:pPr>
        <w:keepNext/>
        <w:keepLines/>
        <w:suppressAutoHyphens w:val="0"/>
        <w:spacing w:before="240" w:after="240" w:line="256" w:lineRule="auto"/>
        <w:ind w:left="432" w:hanging="432"/>
        <w:outlineLvl w:val="0"/>
        <w:rPr>
          <w:vanish/>
          <w:color w:val="2F5496"/>
          <w:sz w:val="32"/>
          <w:szCs w:val="32"/>
          <w:lang w:eastAsia="en-US"/>
        </w:rPr>
      </w:pPr>
      <w:bookmarkStart w:id="234" w:name="_Toc166061580"/>
      <w:bookmarkStart w:id="235" w:name="_Toc197350160"/>
      <w:bookmarkEnd w:id="234"/>
      <w:bookmarkEnd w:id="235"/>
    </w:p>
    <w:p w:rsidR="00442B0D" w:rsidRDefault="00442B0D" w:rsidP="00442B0D">
      <w:pPr>
        <w:keepNext/>
        <w:keepLines/>
        <w:suppressAutoHyphens w:val="0"/>
        <w:spacing w:before="240" w:after="240" w:line="256" w:lineRule="auto"/>
        <w:ind w:left="432" w:hanging="432"/>
        <w:outlineLvl w:val="0"/>
        <w:rPr>
          <w:vanish/>
          <w:color w:val="2F5496"/>
          <w:sz w:val="32"/>
          <w:szCs w:val="32"/>
          <w:lang w:eastAsia="en-US"/>
        </w:rPr>
      </w:pPr>
      <w:bookmarkStart w:id="236" w:name="_Toc166061581"/>
      <w:bookmarkStart w:id="237" w:name="_Toc197350161"/>
      <w:bookmarkEnd w:id="236"/>
      <w:bookmarkEnd w:id="237"/>
    </w:p>
    <w:p w:rsidR="00442B0D" w:rsidRDefault="00442B0D" w:rsidP="00442B0D">
      <w:pPr>
        <w:keepNext/>
        <w:keepLines/>
        <w:suppressAutoHyphens w:val="0"/>
        <w:spacing w:before="240" w:after="240" w:line="256" w:lineRule="auto"/>
        <w:ind w:left="576" w:hanging="576"/>
        <w:outlineLvl w:val="1"/>
        <w:rPr>
          <w:vanish/>
          <w:color w:val="2F5496"/>
          <w:sz w:val="26"/>
          <w:szCs w:val="26"/>
          <w:lang w:eastAsia="en-US"/>
        </w:rPr>
      </w:pPr>
      <w:bookmarkStart w:id="238" w:name="_Toc166061582"/>
      <w:bookmarkStart w:id="239" w:name="_Toc197350162"/>
      <w:bookmarkEnd w:id="238"/>
      <w:bookmarkEnd w:id="239"/>
    </w:p>
    <w:p w:rsidR="00442B0D" w:rsidRDefault="00442B0D" w:rsidP="00442B0D">
      <w:pPr>
        <w:keepNext/>
        <w:keepLines/>
        <w:suppressAutoHyphens w:val="0"/>
        <w:spacing w:before="240" w:after="240" w:line="256" w:lineRule="auto"/>
        <w:ind w:left="432" w:hanging="432"/>
        <w:outlineLvl w:val="0"/>
        <w:rPr>
          <w:vanish/>
          <w:color w:val="2F5496"/>
          <w:sz w:val="32"/>
          <w:szCs w:val="32"/>
          <w:lang w:eastAsia="en-US"/>
        </w:rPr>
      </w:pPr>
      <w:bookmarkStart w:id="240" w:name="_Toc133504219"/>
      <w:bookmarkStart w:id="241" w:name="_Toc133563697"/>
      <w:bookmarkStart w:id="242" w:name="_Toc166061586"/>
      <w:bookmarkStart w:id="243" w:name="_Toc197350163"/>
      <w:bookmarkEnd w:id="240"/>
      <w:bookmarkEnd w:id="241"/>
      <w:bookmarkEnd w:id="242"/>
      <w:bookmarkEnd w:id="243"/>
    </w:p>
    <w:p w:rsidR="00442B0D" w:rsidRDefault="00442B0D" w:rsidP="00442B0D">
      <w:pPr>
        <w:keepNext/>
        <w:keepLines/>
        <w:suppressAutoHyphens w:val="0"/>
        <w:spacing w:before="240" w:after="240" w:line="256" w:lineRule="auto"/>
        <w:ind w:left="432" w:hanging="432"/>
        <w:outlineLvl w:val="0"/>
        <w:rPr>
          <w:vanish/>
          <w:color w:val="2F5496"/>
          <w:sz w:val="32"/>
          <w:szCs w:val="32"/>
          <w:lang w:eastAsia="en-US"/>
        </w:rPr>
      </w:pPr>
      <w:bookmarkStart w:id="244" w:name="_Toc133504220"/>
      <w:bookmarkStart w:id="245" w:name="_Toc133563698"/>
      <w:bookmarkStart w:id="246" w:name="_Toc166061587"/>
      <w:bookmarkStart w:id="247" w:name="_Toc197350164"/>
      <w:bookmarkEnd w:id="244"/>
      <w:bookmarkEnd w:id="245"/>
      <w:bookmarkEnd w:id="246"/>
      <w:bookmarkEnd w:id="247"/>
    </w:p>
    <w:p w:rsidR="00442B0D" w:rsidRDefault="00442B0D" w:rsidP="00442B0D">
      <w:pPr>
        <w:keepNext/>
        <w:keepLines/>
        <w:suppressAutoHyphens w:val="0"/>
        <w:spacing w:before="240" w:after="240" w:line="256" w:lineRule="auto"/>
        <w:ind w:left="432" w:hanging="432"/>
        <w:outlineLvl w:val="0"/>
        <w:rPr>
          <w:vanish/>
          <w:color w:val="2F5496"/>
          <w:sz w:val="32"/>
          <w:szCs w:val="32"/>
          <w:lang w:eastAsia="en-US"/>
        </w:rPr>
      </w:pPr>
      <w:bookmarkStart w:id="248" w:name="_Toc133504221"/>
      <w:bookmarkStart w:id="249" w:name="_Toc133563699"/>
      <w:bookmarkStart w:id="250" w:name="_Toc166061588"/>
      <w:bookmarkStart w:id="251" w:name="_Toc197350165"/>
      <w:bookmarkEnd w:id="248"/>
      <w:bookmarkEnd w:id="249"/>
      <w:bookmarkEnd w:id="250"/>
      <w:bookmarkEnd w:id="251"/>
    </w:p>
    <w:p w:rsidR="00442B0D" w:rsidRDefault="00442B0D" w:rsidP="00442B0D">
      <w:pPr>
        <w:keepNext/>
        <w:keepLines/>
        <w:suppressAutoHyphens w:val="0"/>
        <w:spacing w:before="240" w:after="240" w:line="256" w:lineRule="auto"/>
        <w:ind w:left="432" w:hanging="432"/>
        <w:outlineLvl w:val="0"/>
        <w:rPr>
          <w:vanish/>
          <w:color w:val="2F5496"/>
          <w:sz w:val="32"/>
          <w:szCs w:val="32"/>
          <w:lang w:eastAsia="en-US"/>
        </w:rPr>
      </w:pPr>
      <w:bookmarkStart w:id="252" w:name="_Toc133504222"/>
      <w:bookmarkStart w:id="253" w:name="_Toc133563700"/>
      <w:bookmarkStart w:id="254" w:name="_Toc166061589"/>
      <w:bookmarkStart w:id="255" w:name="_Toc197350166"/>
      <w:bookmarkEnd w:id="252"/>
      <w:bookmarkEnd w:id="253"/>
      <w:bookmarkEnd w:id="254"/>
      <w:bookmarkEnd w:id="255"/>
    </w:p>
    <w:p w:rsidR="00442B0D" w:rsidRDefault="00442B0D" w:rsidP="00442B0D">
      <w:pPr>
        <w:keepNext/>
        <w:keepLines/>
        <w:suppressAutoHyphens w:val="0"/>
        <w:spacing w:before="240" w:after="240" w:line="256" w:lineRule="auto"/>
        <w:ind w:left="432" w:hanging="432"/>
        <w:outlineLvl w:val="0"/>
        <w:rPr>
          <w:vanish/>
          <w:color w:val="2F5496"/>
          <w:sz w:val="32"/>
          <w:szCs w:val="32"/>
          <w:lang w:eastAsia="en-US"/>
        </w:rPr>
      </w:pPr>
      <w:bookmarkStart w:id="256" w:name="_Toc133504223"/>
      <w:bookmarkStart w:id="257" w:name="_Toc133563701"/>
      <w:bookmarkStart w:id="258" w:name="_Toc166061590"/>
      <w:bookmarkStart w:id="259" w:name="_Toc197350167"/>
      <w:bookmarkEnd w:id="256"/>
      <w:bookmarkEnd w:id="257"/>
      <w:bookmarkEnd w:id="258"/>
      <w:bookmarkEnd w:id="259"/>
    </w:p>
    <w:p w:rsidR="00442B0D" w:rsidRDefault="00442B0D" w:rsidP="00442B0D">
      <w:pPr>
        <w:keepNext/>
        <w:keepLines/>
        <w:suppressAutoHyphens w:val="0"/>
        <w:spacing w:before="240" w:after="240" w:line="256" w:lineRule="auto"/>
        <w:ind w:left="576" w:hanging="576"/>
        <w:outlineLvl w:val="1"/>
        <w:rPr>
          <w:vanish/>
          <w:color w:val="2F5496"/>
          <w:sz w:val="26"/>
          <w:szCs w:val="26"/>
          <w:lang w:eastAsia="en-US"/>
        </w:rPr>
      </w:pPr>
      <w:bookmarkStart w:id="260" w:name="_Toc133504224"/>
      <w:bookmarkStart w:id="261" w:name="_Toc133563702"/>
      <w:bookmarkStart w:id="262" w:name="_Toc166061591"/>
      <w:bookmarkStart w:id="263" w:name="_Toc197350168"/>
      <w:bookmarkEnd w:id="260"/>
      <w:bookmarkEnd w:id="261"/>
      <w:bookmarkEnd w:id="262"/>
      <w:bookmarkEnd w:id="263"/>
    </w:p>
    <w:p w:rsidR="00442B0D" w:rsidRDefault="00442B0D" w:rsidP="00442B0D">
      <w:pPr>
        <w:keepNext/>
        <w:keepLines/>
        <w:numPr>
          <w:ilvl w:val="1"/>
          <w:numId w:val="1"/>
        </w:numPr>
        <w:suppressAutoHyphens w:val="0"/>
        <w:spacing w:before="240" w:after="240" w:line="256" w:lineRule="auto"/>
        <w:ind w:left="567" w:hanging="425"/>
        <w:outlineLvl w:val="1"/>
        <w:rPr>
          <w:color w:val="2F5496"/>
          <w:sz w:val="26"/>
          <w:szCs w:val="26"/>
          <w:lang w:eastAsia="en-US"/>
        </w:rPr>
      </w:pPr>
      <w:bookmarkStart w:id="264" w:name="_Toc133504227"/>
      <w:bookmarkStart w:id="265" w:name="_Toc71201093"/>
      <w:bookmarkStart w:id="266" w:name="_Toc71203156"/>
      <w:bookmarkStart w:id="267" w:name="_Toc71268547"/>
      <w:bookmarkStart w:id="268" w:name="_Toc71268582"/>
      <w:bookmarkStart w:id="269" w:name="_Toc71277788"/>
      <w:bookmarkStart w:id="270" w:name="_Toc102640339"/>
      <w:bookmarkStart w:id="271" w:name="_Toc102640401"/>
      <w:bookmarkStart w:id="272" w:name="_Toc102642777"/>
      <w:bookmarkStart w:id="273" w:name="_Toc102643023"/>
      <w:bookmarkStart w:id="274" w:name="_Toc132812393"/>
      <w:bookmarkStart w:id="275" w:name="_Toc132882092"/>
      <w:bookmarkStart w:id="276" w:name="_Toc132882093"/>
      <w:bookmarkStart w:id="277" w:name="_Toc132882094"/>
      <w:bookmarkStart w:id="278" w:name="_Toc132882095"/>
      <w:bookmarkStart w:id="279" w:name="_Toc132882096"/>
      <w:bookmarkStart w:id="280" w:name="_Toc132882097"/>
      <w:bookmarkStart w:id="281" w:name="_Toc102640345"/>
      <w:bookmarkStart w:id="282" w:name="_Toc102640407"/>
      <w:bookmarkStart w:id="283" w:name="_Toc102642783"/>
      <w:bookmarkStart w:id="284" w:name="_Toc102643029"/>
      <w:bookmarkStart w:id="285" w:name="_Toc133504228"/>
      <w:bookmarkStart w:id="286" w:name="_Toc133504229"/>
      <w:bookmarkStart w:id="287" w:name="_Toc22835579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r>
        <w:rPr>
          <w:color w:val="2F5496"/>
          <w:sz w:val="26"/>
          <w:szCs w:val="26"/>
          <w:lang w:eastAsia="en-US"/>
        </w:rPr>
        <w:t>Nobilis Humán Szolgáltató</w:t>
      </w:r>
      <w:bookmarkEnd w:id="287"/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iCs/>
          <w:color w:val="auto"/>
          <w:lang w:eastAsia="en-US"/>
        </w:rPr>
      </w:pPr>
      <w:bookmarkStart w:id="288" w:name="_Hlk2082697"/>
      <w:r>
        <w:rPr>
          <w:rFonts w:eastAsia="Calibri"/>
          <w:iCs/>
          <w:color w:val="auto"/>
          <w:lang w:eastAsia="en-US"/>
        </w:rPr>
        <w:t>2025-ben az új Cinege bölcsőde engedélyeztetéséhez szükséges szemlén kívül nem történt felügyeleti szerv által végzett szakmai ellenőrzés a Nobilis egyik szervezeti egységében sem.</w:t>
      </w:r>
    </w:p>
    <w:p w:rsidR="00442B0D" w:rsidRDefault="00442B0D" w:rsidP="00442B0D">
      <w:pPr>
        <w:pStyle w:val="Cmsor1"/>
      </w:pPr>
      <w:bookmarkStart w:id="289" w:name="_Toc228355794"/>
      <w:bookmarkEnd w:id="288"/>
      <w:r>
        <w:lastRenderedPageBreak/>
        <w:t>Jövőre vonatkozó javaslatok, célok meghatározása a Gyvt. előírásai alapján (milyen ellátásokra és intézményekre lenne szükség a problémák hatékonyabb kezelése érdekében, gyermekvédelmi prevenciós elképzelések)</w:t>
      </w:r>
      <w:bookmarkEnd w:id="289"/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Szigethalom Város Önkormányzata a jogszabályban meghatározott, a jelen átfogó értékelés területét érintő kötelező feladatait ellátja, az ellátórendszert fenntartóként működteti, gondot fordít az intézmények költségvetési lehetőségekhez mért fejlesztésére. Továbbra is figyelemmel kíséri, hogy a lakosságszám növekedéséből milyen feladatai keletkezhetnek a jövőben. Az önkormányzat figyelmet fordít arra, hogy költségvetésének lehetőségeihez mérten úgy alakítsa és formálja az önkormányzati rendeletben megállapított támogatásokat, hogy a korlátozott források a célcsoportok leginkább rászorult tagjai számára kerüljenek allokálásra. Mivel az önkormányzati támogatások jelentős része gyermekes családokat érint, így azok anyagilag átmeneti segítséget képesek nyújtani a nehéz élethelyzetek kezeléséhez. 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Szigethalom Város Önkormányzata Képviselő-testületének a települési támogatások helyi szabályozásáról szóló 6/2023. (III. 1.) számú rendelete szabályozza az önkormányzat által nyújtott támogatási formákat. Az önkormányzat által folyósított támogatások jelentős mértékben támaszkodnak a központi költségvetésre. A központi támogatások jelentős mértékű emelésére van szükség egy hathatós mértékű támogatási és prevenciós rendszer kiépítésére.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Az önkormányzat és intézményei a települési támogatási rendszeren túl megelőző, prevenciós jellegű gyermekvédelmi és gyermekjóléti tevékenységeket végez.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 szigethalmi intézmények gyermekvédelmi prevenciós tevékenysége:</w:t>
      </w:r>
    </w:p>
    <w:p w:rsidR="00442B0D" w:rsidRDefault="00442B0D" w:rsidP="00442B0D">
      <w:pPr>
        <w:numPr>
          <w:ilvl w:val="0"/>
          <w:numId w:val="8"/>
        </w:numPr>
        <w:suppressAutoHyphens w:val="0"/>
        <w:spacing w:after="120" w:line="256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Élelmiszer és ruha adományok,</w:t>
      </w:r>
    </w:p>
    <w:p w:rsidR="00442B0D" w:rsidRDefault="00442B0D" w:rsidP="00442B0D">
      <w:pPr>
        <w:numPr>
          <w:ilvl w:val="0"/>
          <w:numId w:val="8"/>
        </w:numPr>
        <w:suppressAutoHyphens w:val="0"/>
        <w:spacing w:after="120" w:line="256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Kincskereső karácsony,</w:t>
      </w:r>
    </w:p>
    <w:p w:rsidR="00442B0D" w:rsidRDefault="00442B0D" w:rsidP="00442B0D">
      <w:pPr>
        <w:numPr>
          <w:ilvl w:val="0"/>
          <w:numId w:val="8"/>
        </w:numPr>
        <w:suppressAutoHyphens w:val="0"/>
        <w:spacing w:after="120" w:line="256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Táborok,</w:t>
      </w:r>
    </w:p>
    <w:p w:rsidR="00442B0D" w:rsidRDefault="00442B0D" w:rsidP="00442B0D">
      <w:pPr>
        <w:numPr>
          <w:ilvl w:val="0"/>
          <w:numId w:val="8"/>
        </w:numPr>
        <w:suppressAutoHyphens w:val="0"/>
        <w:spacing w:after="120" w:line="256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Egyéni fejlesztő foglalkozások,</w:t>
      </w:r>
    </w:p>
    <w:p w:rsidR="00442B0D" w:rsidRDefault="00442B0D" w:rsidP="00442B0D">
      <w:pPr>
        <w:numPr>
          <w:ilvl w:val="0"/>
          <w:numId w:val="8"/>
        </w:numPr>
        <w:suppressAutoHyphens w:val="0"/>
        <w:spacing w:after="120" w:line="256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Tantárgyi felzárkóztató foglalkozások,</w:t>
      </w:r>
    </w:p>
    <w:p w:rsidR="00442B0D" w:rsidRDefault="00442B0D" w:rsidP="00442B0D">
      <w:pPr>
        <w:numPr>
          <w:ilvl w:val="0"/>
          <w:numId w:val="8"/>
        </w:numPr>
        <w:suppressAutoHyphens w:val="0"/>
        <w:spacing w:after="120" w:line="256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Ingyenes étkezés,</w:t>
      </w:r>
    </w:p>
    <w:p w:rsidR="00442B0D" w:rsidRDefault="00442B0D" w:rsidP="00442B0D">
      <w:pPr>
        <w:numPr>
          <w:ilvl w:val="0"/>
          <w:numId w:val="8"/>
        </w:numPr>
        <w:suppressAutoHyphens w:val="0"/>
        <w:spacing w:after="120" w:line="256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Iskolagyümölcs és iskolatej program,</w:t>
      </w:r>
    </w:p>
    <w:p w:rsidR="00442B0D" w:rsidRDefault="00442B0D" w:rsidP="00442B0D">
      <w:pPr>
        <w:numPr>
          <w:ilvl w:val="0"/>
          <w:numId w:val="8"/>
        </w:numPr>
        <w:suppressAutoHyphens w:val="0"/>
        <w:spacing w:after="120" w:line="256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Szakkörök,</w:t>
      </w:r>
    </w:p>
    <w:p w:rsidR="00442B0D" w:rsidRDefault="00442B0D" w:rsidP="00442B0D">
      <w:pPr>
        <w:numPr>
          <w:ilvl w:val="0"/>
          <w:numId w:val="8"/>
        </w:numPr>
        <w:suppressAutoHyphens w:val="0"/>
        <w:spacing w:after="120" w:line="256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Erdei iskola,</w:t>
      </w:r>
    </w:p>
    <w:p w:rsidR="00442B0D" w:rsidRDefault="00442B0D" w:rsidP="00442B0D">
      <w:pPr>
        <w:numPr>
          <w:ilvl w:val="0"/>
          <w:numId w:val="8"/>
        </w:numPr>
        <w:suppressAutoHyphens w:val="0"/>
        <w:spacing w:after="120" w:line="256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Osztálykirándulás,</w:t>
      </w:r>
    </w:p>
    <w:p w:rsidR="00442B0D" w:rsidRDefault="00442B0D" w:rsidP="00442B0D">
      <w:pPr>
        <w:numPr>
          <w:ilvl w:val="0"/>
          <w:numId w:val="8"/>
        </w:numPr>
        <w:suppressAutoHyphens w:val="0"/>
        <w:spacing w:after="120" w:line="256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Szabadidős programok,</w:t>
      </w:r>
    </w:p>
    <w:p w:rsidR="00442B0D" w:rsidRDefault="00442B0D" w:rsidP="00442B0D">
      <w:pPr>
        <w:numPr>
          <w:ilvl w:val="0"/>
          <w:numId w:val="8"/>
        </w:numPr>
        <w:suppressAutoHyphens w:val="0"/>
        <w:spacing w:after="120" w:line="256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Közösségépítő tevékenységek,</w:t>
      </w:r>
    </w:p>
    <w:p w:rsidR="00442B0D" w:rsidRDefault="00442B0D" w:rsidP="00442B0D">
      <w:pPr>
        <w:numPr>
          <w:ilvl w:val="0"/>
          <w:numId w:val="8"/>
        </w:numPr>
        <w:suppressAutoHyphens w:val="0"/>
        <w:spacing w:after="120" w:line="256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Prevenciós előadások,</w:t>
      </w:r>
    </w:p>
    <w:p w:rsidR="00442B0D" w:rsidRDefault="00442B0D" w:rsidP="00442B0D">
      <w:pPr>
        <w:numPr>
          <w:ilvl w:val="0"/>
          <w:numId w:val="8"/>
        </w:numPr>
        <w:suppressAutoHyphens w:val="0"/>
        <w:spacing w:after="120" w:line="256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Prevenció, problémák feltárása, segítségnyújtás a problémák megoldásában,</w:t>
      </w:r>
    </w:p>
    <w:p w:rsidR="00442B0D" w:rsidRDefault="00442B0D" w:rsidP="00442B0D">
      <w:pPr>
        <w:numPr>
          <w:ilvl w:val="0"/>
          <w:numId w:val="8"/>
        </w:numPr>
        <w:suppressAutoHyphens w:val="0"/>
        <w:spacing w:after="120" w:line="256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 halmozottan hátrányos helyzetű gyermekekkel, családjaikkal való törődés,</w:t>
      </w:r>
    </w:p>
    <w:p w:rsidR="00442B0D" w:rsidRDefault="00442B0D" w:rsidP="00442B0D">
      <w:pPr>
        <w:numPr>
          <w:ilvl w:val="0"/>
          <w:numId w:val="8"/>
        </w:numPr>
        <w:suppressAutoHyphens w:val="0"/>
        <w:spacing w:after="120" w:line="256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Családlátogatások,</w:t>
      </w:r>
    </w:p>
    <w:p w:rsidR="00442B0D" w:rsidRDefault="00442B0D" w:rsidP="00442B0D">
      <w:pPr>
        <w:numPr>
          <w:ilvl w:val="0"/>
          <w:numId w:val="8"/>
        </w:numPr>
        <w:suppressAutoHyphens w:val="0"/>
        <w:spacing w:after="120" w:line="256" w:lineRule="auto"/>
        <w:ind w:left="714" w:hanging="357"/>
        <w:contextualSpacing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A veszélyeztetett tanulók mentális és fizikai fejlődésének nyomon követése,</w:t>
      </w:r>
    </w:p>
    <w:p w:rsidR="00442B0D" w:rsidRDefault="00442B0D" w:rsidP="00442B0D">
      <w:pPr>
        <w:numPr>
          <w:ilvl w:val="0"/>
          <w:numId w:val="8"/>
        </w:numPr>
        <w:suppressAutoHyphens w:val="0"/>
        <w:spacing w:after="120" w:line="256" w:lineRule="auto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Együttműködés a gyermekvédelmi rendszer tagjaival</w:t>
      </w:r>
    </w:p>
    <w:p w:rsidR="00442B0D" w:rsidRDefault="00442B0D" w:rsidP="00442B0D">
      <w:pPr>
        <w:keepNext/>
        <w:keepLines/>
        <w:numPr>
          <w:ilvl w:val="1"/>
          <w:numId w:val="1"/>
        </w:numPr>
        <w:suppressAutoHyphens w:val="0"/>
        <w:spacing w:before="240" w:after="240" w:line="256" w:lineRule="auto"/>
        <w:outlineLvl w:val="1"/>
        <w:rPr>
          <w:rFonts w:eastAsia="Constantia"/>
          <w:color w:val="2F5496"/>
          <w:sz w:val="26"/>
          <w:szCs w:val="26"/>
          <w:lang w:eastAsia="en-US"/>
        </w:rPr>
      </w:pPr>
      <w:bookmarkStart w:id="290" w:name="_Toc228355795"/>
      <w:r>
        <w:rPr>
          <w:rFonts w:eastAsia="Constantia"/>
          <w:color w:val="2F5496"/>
          <w:sz w:val="26"/>
          <w:szCs w:val="26"/>
          <w:lang w:eastAsia="en-US"/>
        </w:rPr>
        <w:t>Javaslatok a Nebuló részéről</w:t>
      </w:r>
      <w:bookmarkEnd w:id="290"/>
    </w:p>
    <w:p w:rsidR="00442B0D" w:rsidRDefault="00442B0D" w:rsidP="00442B0D">
      <w:pPr>
        <w:suppressAutoHyphens w:val="0"/>
        <w:spacing w:before="120" w:after="200" w:line="264" w:lineRule="auto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A gyermekjóléti feladatok ellátásában érintett ingatlanok karbantartási munkálatai jelentős anyagi forrásokat emésztenek fel. A munkavállalók alacsony bérezése miatt állandósulni látszik a szakképzett munkaerőhiány. </w:t>
      </w:r>
    </w:p>
    <w:p w:rsidR="00442B0D" w:rsidRDefault="00442B0D" w:rsidP="00442B0D">
      <w:pPr>
        <w:suppressAutoHyphens w:val="0"/>
        <w:spacing w:before="120" w:after="200" w:line="264" w:lineRule="auto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lastRenderedPageBreak/>
        <w:t>A speciális étkezést (diétát) igénylők ellátása csak külső szolgáltató igénybevételével tud megvalósulni. A diétás konyha kialakításához szükséges személyi feltételek a diétás szakács nyugdíjba vonulása miatt jelenleg nem állnak fenn. A projekt megvalósításának akadálya a forráshiány.</w:t>
      </w:r>
    </w:p>
    <w:p w:rsidR="00442B0D" w:rsidRDefault="00442B0D" w:rsidP="00442B0D">
      <w:pPr>
        <w:suppressAutoHyphens w:val="0"/>
        <w:spacing w:before="120" w:after="200" w:line="264" w:lineRule="auto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Raktározási kapacitás növelése miatt telephely fejlesztésre van szükség.</w:t>
      </w:r>
    </w:p>
    <w:p w:rsidR="00442B0D" w:rsidRDefault="00442B0D" w:rsidP="00442B0D">
      <w:pPr>
        <w:pStyle w:val="Cmsor1"/>
      </w:pPr>
      <w:bookmarkStart w:id="291" w:name="_Toc228355796"/>
      <w:r>
        <w:t>A bűnmegelőzési program főbb pontjainak bemutatása (amennyiben a településen készült ilyen program), valamint a gyermekkorú és a fiatalkorú bűnelkövetők számának az általuk elkövetett bűncselekmények számának, a bűnelkövetés okainak bemutatása</w:t>
      </w:r>
      <w:bookmarkEnd w:id="291"/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bookmarkStart w:id="292" w:name="_Toc102640355"/>
      <w:bookmarkStart w:id="293" w:name="_Toc102640417"/>
      <w:bookmarkStart w:id="294" w:name="_Toc102642793"/>
      <w:bookmarkStart w:id="295" w:name="_Toc102643039"/>
      <w:bookmarkEnd w:id="292"/>
      <w:bookmarkEnd w:id="293"/>
      <w:bookmarkEnd w:id="294"/>
      <w:bookmarkEnd w:id="295"/>
      <w:r>
        <w:rPr>
          <w:rFonts w:eastAsia="Calibri"/>
          <w:color w:val="auto"/>
          <w:lang w:eastAsia="en-US"/>
        </w:rPr>
        <w:t>Szigethalom a Tököli Rendőrőrs illetékességi területéhez tartozik. A Rendőrség beszámolója alapján a 2025. évben a rendőrség 284 bűncselekményt regisztrált Szigethalom településen. A 2024. évben regisztrált 267 bűncselekményhez képest a tárgyévben 17 esettel növekedett az elkövetett bűncselekmények száma.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FF0000"/>
          <w:lang w:eastAsia="en-US"/>
        </w:rPr>
      </w:pPr>
      <w:r>
        <w:rPr>
          <w:rFonts w:eastAsia="Calibri"/>
          <w:color w:val="auto"/>
          <w:lang w:eastAsia="en-US"/>
        </w:rPr>
        <w:t xml:space="preserve">A Rendőrség 2025-as statisztikájában nem szerepel kiskorú veszélyeztetése bűncselekmény, sem gyermekkorú és fiatalkorú bűnelkövetés. 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A Rendőrség tagjai a tanidőszakokban előadásokat, bemutatókat tartottak általános bűnmegelőzési, állat- és természetvédelmi, </w:t>
      </w:r>
      <w:proofErr w:type="spellStart"/>
      <w:r>
        <w:rPr>
          <w:rFonts w:eastAsia="Calibri"/>
          <w:color w:val="auto"/>
          <w:lang w:eastAsia="en-US"/>
        </w:rPr>
        <w:t>drogprevenciós</w:t>
      </w:r>
      <w:proofErr w:type="spellEnd"/>
      <w:r>
        <w:rPr>
          <w:rFonts w:eastAsia="Calibri"/>
          <w:color w:val="auto"/>
          <w:lang w:eastAsia="en-US"/>
        </w:rPr>
        <w:t xml:space="preserve">, közlekedésismereti és </w:t>
      </w:r>
      <w:proofErr w:type="spellStart"/>
      <w:r>
        <w:rPr>
          <w:rFonts w:eastAsia="Calibri"/>
          <w:color w:val="auto"/>
          <w:lang w:eastAsia="en-US"/>
        </w:rPr>
        <w:t>balesetmegelőzési</w:t>
      </w:r>
      <w:proofErr w:type="spellEnd"/>
      <w:r>
        <w:rPr>
          <w:rFonts w:eastAsia="Calibri"/>
          <w:color w:val="auto"/>
          <w:lang w:eastAsia="en-US"/>
        </w:rPr>
        <w:t xml:space="preserve">, vagyonvédelmi, illetve kibertérben történő bűncselekmények megelőzése körében. 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A Szigethalmi Gróf Széchenyi István Általános Iskola 2024. évtől rendelkezik iskolaőrrel. 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2025. évben Szigethalom Város Önkormányzat Képviselő-testülete 1.500.000 Ft. </w:t>
      </w:r>
      <w:proofErr w:type="gramStart"/>
      <w:r>
        <w:rPr>
          <w:rFonts w:eastAsia="Calibri"/>
          <w:color w:val="auto"/>
          <w:lang w:eastAsia="en-US"/>
        </w:rPr>
        <w:t>támogatást</w:t>
      </w:r>
      <w:proofErr w:type="gramEnd"/>
      <w:r>
        <w:rPr>
          <w:rFonts w:eastAsia="Calibri"/>
          <w:color w:val="auto"/>
          <w:lang w:eastAsia="en-US"/>
        </w:rPr>
        <w:t xml:space="preserve"> nyújtott a rendőrségi számára a település közrendjének és közbiztonságának fenntartása, javulása érdekében.</w:t>
      </w:r>
    </w:p>
    <w:p w:rsidR="00442B0D" w:rsidRDefault="00442B0D" w:rsidP="00442B0D">
      <w:pPr>
        <w:pStyle w:val="Cmsor1"/>
      </w:pPr>
      <w:bookmarkStart w:id="296" w:name="_Toc228355797"/>
      <w:r>
        <w:t xml:space="preserve">A települési önkormányzat és a civil szervezetek közötti együttműködés keretében milyen feladatok, szolgáltatások ellátásában vesznek részt civil szervezetek (alapellátás, szakellátás, szabadidős programok, </w:t>
      </w:r>
      <w:proofErr w:type="spellStart"/>
      <w:r>
        <w:t>drogprevenció</w:t>
      </w:r>
      <w:proofErr w:type="spellEnd"/>
      <w:r>
        <w:t xml:space="preserve"> stb.).</w:t>
      </w:r>
      <w:bookmarkEnd w:id="296"/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x-none" w:bidi="x-none"/>
        </w:rPr>
        <w:t>Az Önkormányzat és a Család- és Gyermekjóléti Szolgálat hagyományosan jó kapcsolatot ápol egyházi és civil szervezetekkel, magánszemélyekkel, akik tevékenységükkel nagy segítséget nyújtanak az intézmény munkájában, programok, rendezvények színvonalas lebonyolításában, pénzbeli és tárgyi adományozással.</w:t>
      </w:r>
      <w:r>
        <w:rPr>
          <w:rFonts w:eastAsia="Calibri"/>
          <w:color w:val="auto"/>
          <w:lang w:eastAsia="en-US"/>
        </w:rPr>
        <w:t xml:space="preserve"> A civil szervezetek és egyénileg a lakosság is megmozdul a szolgálat által szervezett karitatív tevékenységekben. Részt vesznek adománygyűjtésekben, élelmiszerosztásokon, prevenciós programokon, segítőként a város programjain. 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Több sportszervezet együttműködésben áll az önkormányzattal, melyek tevékenységét az önkormányzat a lehetőségeihez mérten támogat. A támogatott tevékenységek között szerepel a kisgyermekek mozgásfejlesztése, a labdarúgás, a harcművészet, táncművészet.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A Rendőrség a DELTA (Drogellenes Totális Akcióterv) program keretében bűnmegelőzési tevékenységet végez az iskolákban, illetve </w:t>
      </w:r>
      <w:proofErr w:type="spellStart"/>
      <w:r>
        <w:rPr>
          <w:rFonts w:eastAsia="Calibri"/>
          <w:color w:val="auto"/>
          <w:lang w:eastAsia="en-US"/>
        </w:rPr>
        <w:t>drogprevenciós</w:t>
      </w:r>
      <w:proofErr w:type="spellEnd"/>
      <w:r>
        <w:rPr>
          <w:rFonts w:eastAsia="Calibri"/>
          <w:color w:val="auto"/>
          <w:lang w:eastAsia="en-US"/>
        </w:rPr>
        <w:t xml:space="preserve"> előadásokat tart.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lastRenderedPageBreak/>
        <w:t>Szigethalom, 2026. május 19.</w:t>
      </w: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</w:p>
    <w:p w:rsidR="00442B0D" w:rsidRDefault="00442B0D" w:rsidP="00442B0D">
      <w:pPr>
        <w:suppressAutoHyphens w:val="0"/>
        <w:spacing w:after="120"/>
        <w:jc w:val="both"/>
        <w:rPr>
          <w:rFonts w:eastAsia="Calibri"/>
          <w:color w:val="auto"/>
          <w:lang w:eastAsia="en-US"/>
        </w:rPr>
      </w:pPr>
    </w:p>
    <w:p w:rsidR="00442B0D" w:rsidRDefault="00442B0D" w:rsidP="00442B0D">
      <w:pPr>
        <w:suppressAutoHyphens w:val="0"/>
        <w:spacing w:after="120"/>
        <w:jc w:val="center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Fáki László polgármester</w:t>
      </w:r>
    </w:p>
    <w:p w:rsidR="00442B0D" w:rsidRDefault="00442B0D" w:rsidP="00442B0D">
      <w:pPr>
        <w:pStyle w:val="Szvegtrzs"/>
        <w:rPr>
          <w:iCs/>
          <w:sz w:val="22"/>
          <w:szCs w:val="22"/>
        </w:rPr>
      </w:pPr>
    </w:p>
    <w:p w:rsidR="00E138D0" w:rsidRDefault="00E138D0"/>
    <w:sectPr w:rsidR="00E138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B268C"/>
    <w:multiLevelType w:val="hybridMultilevel"/>
    <w:tmpl w:val="8BC0E2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C14A5"/>
    <w:multiLevelType w:val="hybridMultilevel"/>
    <w:tmpl w:val="6A84B6E0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C2308"/>
    <w:multiLevelType w:val="multilevel"/>
    <w:tmpl w:val="B630FACA"/>
    <w:lvl w:ilvl="0">
      <w:start w:val="1"/>
      <w:numFmt w:val="decimal"/>
      <w:pStyle w:val="Cmsor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theme="majorHAnsi" w:hint="default"/>
        <w:color w:val="1F4E79" w:themeColor="accent1" w:themeShade="8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291423DA"/>
    <w:multiLevelType w:val="hybridMultilevel"/>
    <w:tmpl w:val="4754B650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392828"/>
    <w:multiLevelType w:val="hybridMultilevel"/>
    <w:tmpl w:val="8BC0E20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5E12E6"/>
    <w:multiLevelType w:val="hybridMultilevel"/>
    <w:tmpl w:val="C8727BA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80A4A"/>
    <w:multiLevelType w:val="hybridMultilevel"/>
    <w:tmpl w:val="E4644D9C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00170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B0D"/>
    <w:rsid w:val="00442B0D"/>
    <w:rsid w:val="00E1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9E2CEB-50C9-44E6-80C6-37C2DBD6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42B0D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Cmsor1">
    <w:name w:val="heading 1"/>
    <w:basedOn w:val="Norml"/>
    <w:next w:val="Norml"/>
    <w:link w:val="Cmsor1Char"/>
    <w:uiPriority w:val="9"/>
    <w:qFormat/>
    <w:rsid w:val="00442B0D"/>
    <w:pPr>
      <w:keepNext/>
      <w:keepLines/>
      <w:numPr>
        <w:numId w:val="1"/>
      </w:numPr>
      <w:suppressAutoHyphens w:val="0"/>
      <w:spacing w:before="240" w:after="240" w:line="256" w:lineRule="auto"/>
      <w:jc w:val="both"/>
      <w:outlineLvl w:val="0"/>
    </w:pPr>
    <w:rPr>
      <w:color w:val="2F5496"/>
      <w:sz w:val="32"/>
      <w:szCs w:val="3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442B0D"/>
    <w:rPr>
      <w:rFonts w:ascii="Times New Roman" w:eastAsia="Times New Roman" w:hAnsi="Times New Roman" w:cs="Times New Roman"/>
      <w:color w:val="2F5496"/>
      <w:sz w:val="32"/>
      <w:szCs w:val="32"/>
    </w:rPr>
  </w:style>
  <w:style w:type="character" w:styleId="Hiperhivatkozs">
    <w:name w:val="Hyperlink"/>
    <w:basedOn w:val="Bekezdsalapbettpusa"/>
    <w:uiPriority w:val="99"/>
    <w:semiHidden/>
    <w:unhideWhenUsed/>
    <w:rsid w:val="00442B0D"/>
    <w:rPr>
      <w:color w:val="0563C1" w:themeColor="hyperlink"/>
      <w:u w:val="single"/>
    </w:rPr>
  </w:style>
  <w:style w:type="paragraph" w:styleId="TJ1">
    <w:name w:val="toc 1"/>
    <w:basedOn w:val="Norml"/>
    <w:next w:val="Norml"/>
    <w:autoRedefine/>
    <w:uiPriority w:val="39"/>
    <w:semiHidden/>
    <w:unhideWhenUsed/>
    <w:rsid w:val="00442B0D"/>
    <w:pPr>
      <w:tabs>
        <w:tab w:val="left" w:pos="284"/>
        <w:tab w:val="right" w:leader="dot" w:pos="9072"/>
      </w:tabs>
      <w:suppressAutoHyphens w:val="0"/>
      <w:spacing w:after="100" w:line="256" w:lineRule="auto"/>
      <w:ind w:left="284" w:right="1" w:hanging="284"/>
      <w:jc w:val="both"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TJ2">
    <w:name w:val="toc 2"/>
    <w:basedOn w:val="Norml"/>
    <w:next w:val="Norml"/>
    <w:autoRedefine/>
    <w:uiPriority w:val="39"/>
    <w:semiHidden/>
    <w:unhideWhenUsed/>
    <w:rsid w:val="00442B0D"/>
    <w:pPr>
      <w:tabs>
        <w:tab w:val="left" w:pos="709"/>
        <w:tab w:val="right" w:leader="dot" w:pos="9072"/>
      </w:tabs>
      <w:suppressAutoHyphens w:val="0"/>
      <w:spacing w:after="100" w:line="256" w:lineRule="auto"/>
      <w:ind w:left="220"/>
      <w:jc w:val="both"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TJ3">
    <w:name w:val="toc 3"/>
    <w:basedOn w:val="Norml"/>
    <w:next w:val="Norml"/>
    <w:autoRedefine/>
    <w:uiPriority w:val="39"/>
    <w:semiHidden/>
    <w:unhideWhenUsed/>
    <w:rsid w:val="00442B0D"/>
    <w:pPr>
      <w:suppressAutoHyphens w:val="0"/>
      <w:spacing w:after="100" w:line="256" w:lineRule="auto"/>
      <w:ind w:left="440"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Cm">
    <w:name w:val="Title"/>
    <w:basedOn w:val="Norml"/>
    <w:next w:val="Alcm"/>
    <w:link w:val="CmChar"/>
    <w:qFormat/>
    <w:rsid w:val="00442B0D"/>
    <w:pPr>
      <w:jc w:val="center"/>
    </w:pPr>
    <w:rPr>
      <w:b/>
      <w:smallCaps/>
      <w:sz w:val="32"/>
      <w:u w:val="single"/>
    </w:rPr>
  </w:style>
  <w:style w:type="character" w:customStyle="1" w:styleId="CmChar">
    <w:name w:val="Cím Char"/>
    <w:basedOn w:val="Bekezdsalapbettpusa"/>
    <w:link w:val="Cm"/>
    <w:rsid w:val="00442B0D"/>
    <w:rPr>
      <w:rFonts w:ascii="Times New Roman" w:eastAsia="Times New Roman" w:hAnsi="Times New Roman" w:cs="Times New Roman"/>
      <w:b/>
      <w:smallCaps/>
      <w:color w:val="000000"/>
      <w:sz w:val="32"/>
      <w:szCs w:val="24"/>
      <w:u w:val="single"/>
      <w:lang w:eastAsia="ar-SA"/>
    </w:rPr>
  </w:style>
  <w:style w:type="paragraph" w:styleId="Szvegtrzs">
    <w:name w:val="Body Text"/>
    <w:basedOn w:val="Norml"/>
    <w:link w:val="SzvegtrzsChar"/>
    <w:semiHidden/>
    <w:unhideWhenUsed/>
    <w:rsid w:val="00442B0D"/>
    <w:pPr>
      <w:jc w:val="both"/>
    </w:pPr>
    <w:rPr>
      <w:szCs w:val="20"/>
      <w:lang w:eastAsia="zh-CN"/>
    </w:rPr>
  </w:style>
  <w:style w:type="character" w:customStyle="1" w:styleId="SzvegtrzsChar">
    <w:name w:val="Szövegtörzs Char"/>
    <w:basedOn w:val="Bekezdsalapbettpusa"/>
    <w:link w:val="Szvegtrzs"/>
    <w:semiHidden/>
    <w:rsid w:val="00442B0D"/>
    <w:rPr>
      <w:rFonts w:ascii="Times New Roman" w:eastAsia="Times New Roman" w:hAnsi="Times New Roman" w:cs="Times New Roman"/>
      <w:color w:val="000000"/>
      <w:sz w:val="24"/>
      <w:szCs w:val="20"/>
      <w:lang w:eastAsia="zh-CN"/>
    </w:rPr>
  </w:style>
  <w:style w:type="table" w:customStyle="1" w:styleId="Vilgosrcs6jellszn1">
    <w:name w:val="Világos rács – 6. jelölőszín1"/>
    <w:basedOn w:val="Normltblzat"/>
    <w:uiPriority w:val="62"/>
    <w:rsid w:val="00442B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Rcsostblzat1">
    <w:name w:val="Rácsos táblázat1"/>
    <w:basedOn w:val="Normltblzat"/>
    <w:rsid w:val="00442B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cm">
    <w:name w:val="Subtitle"/>
    <w:basedOn w:val="Norml"/>
    <w:next w:val="Norml"/>
    <w:link w:val="AlcmChar"/>
    <w:uiPriority w:val="11"/>
    <w:qFormat/>
    <w:rsid w:val="00442B0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cmChar">
    <w:name w:val="Alcím Char"/>
    <w:basedOn w:val="Bekezdsalapbettpusa"/>
    <w:link w:val="Alcm"/>
    <w:uiPriority w:val="11"/>
    <w:rsid w:val="00442B0D"/>
    <w:rPr>
      <w:rFonts w:eastAsiaTheme="minorEastAsia"/>
      <w:color w:val="5A5A5A" w:themeColor="text1" w:themeTint="A5"/>
      <w:spacing w:val="15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7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ilkovics.marianna\Desktop\ktmajus\01.%20&#193;tfog&#243;%20&#233;rt&#233;kel&#233;s%20a%20gyermekv&#233;delmi%20feladatokr&#243;l\El&#337;terjeszt&#233;s_&#225;tfog&#243;%20&#233;rt&#233;kel&#233;s%20a%20gyerv&#233;d%20feladatokr&#243;l.docx" TargetMode="External"/><Relationship Id="rId18" Type="http://schemas.openxmlformats.org/officeDocument/2006/relationships/hyperlink" Target="file:///C:\Users\milkovics.marianna\Desktop\ktmajus\01.%20&#193;tfog&#243;%20&#233;rt&#233;kel&#233;s%20a%20gyermekv&#233;delmi%20feladatokr&#243;l\El&#337;terjeszt&#233;s_&#225;tfog&#243;%20&#233;rt&#233;kel&#233;s%20a%20gyerv&#233;d%20feladatokr&#243;l.docx" TargetMode="External"/><Relationship Id="rId26" Type="http://schemas.openxmlformats.org/officeDocument/2006/relationships/hyperlink" Target="file:///C:\Users\milkovics.marianna\Desktop\ktmajus\01.%20&#193;tfog&#243;%20&#233;rt&#233;kel&#233;s%20a%20gyermekv&#233;delmi%20feladatokr&#243;l\El&#337;terjeszt&#233;s_&#225;tfog&#243;%20&#233;rt&#233;kel&#233;s%20a%20gyerv&#233;d%20feladatokr&#243;l.docx" TargetMode="External"/><Relationship Id="rId39" Type="http://schemas.openxmlformats.org/officeDocument/2006/relationships/chart" Target="charts/chart7.xml"/><Relationship Id="rId3" Type="http://schemas.openxmlformats.org/officeDocument/2006/relationships/settings" Target="settings.xml"/><Relationship Id="rId21" Type="http://schemas.openxmlformats.org/officeDocument/2006/relationships/hyperlink" Target="file:///C:\Users\milkovics.marianna\Desktop\ktmajus\01.%20&#193;tfog&#243;%20&#233;rt&#233;kel&#233;s%20a%20gyermekv&#233;delmi%20feladatokr&#243;l\El&#337;terjeszt&#233;s_&#225;tfog&#243;%20&#233;rt&#233;kel&#233;s%20a%20gyerv&#233;d%20feladatokr&#243;l.docx" TargetMode="External"/><Relationship Id="rId34" Type="http://schemas.openxmlformats.org/officeDocument/2006/relationships/image" Target="media/image8.png"/><Relationship Id="rId42" Type="http://schemas.openxmlformats.org/officeDocument/2006/relationships/chart" Target="charts/chart10.xml"/><Relationship Id="rId47" Type="http://schemas.openxmlformats.org/officeDocument/2006/relationships/chart" Target="charts/chart15.xml"/><Relationship Id="rId50" Type="http://schemas.openxmlformats.org/officeDocument/2006/relationships/theme" Target="theme/theme1.xml"/><Relationship Id="rId7" Type="http://schemas.openxmlformats.org/officeDocument/2006/relationships/hyperlink" Target="file:///C:\Users\milkovics.marianna\Desktop\ktmajus\01.%20&#193;tfog&#243;%20&#233;rt&#233;kel&#233;s%20a%20gyermekv&#233;delmi%20feladatokr&#243;l\El&#337;terjeszt&#233;s_&#225;tfog&#243;%20&#233;rt&#233;kel&#233;s%20a%20gyerv&#233;d%20feladatokr&#243;l.docx" TargetMode="External"/><Relationship Id="rId12" Type="http://schemas.openxmlformats.org/officeDocument/2006/relationships/hyperlink" Target="file:///C:\Users\milkovics.marianna\Desktop\ktmajus\01.%20&#193;tfog&#243;%20&#233;rt&#233;kel&#233;s%20a%20gyermekv&#233;delmi%20feladatokr&#243;l\El&#337;terjeszt&#233;s_&#225;tfog&#243;%20&#233;rt&#233;kel&#233;s%20a%20gyerv&#233;d%20feladatokr&#243;l.docx" TargetMode="External"/><Relationship Id="rId17" Type="http://schemas.openxmlformats.org/officeDocument/2006/relationships/hyperlink" Target="file:///C:\Users\milkovics.marianna\Desktop\ktmajus\01.%20&#193;tfog&#243;%20&#233;rt&#233;kel&#233;s%20a%20gyermekv&#233;delmi%20feladatokr&#243;l\El&#337;terjeszt&#233;s_&#225;tfog&#243;%20&#233;rt&#233;kel&#233;s%20a%20gyerv&#233;d%20feladatokr&#243;l.docx" TargetMode="External"/><Relationship Id="rId25" Type="http://schemas.openxmlformats.org/officeDocument/2006/relationships/hyperlink" Target="file:///C:\Users\milkovics.marianna\Desktop\ktmajus\01.%20&#193;tfog&#243;%20&#233;rt&#233;kel&#233;s%20a%20gyermekv&#233;delmi%20feladatokr&#243;l\El&#337;terjeszt&#233;s_&#225;tfog&#243;%20&#233;rt&#233;kel&#233;s%20a%20gyerv&#233;d%20feladatokr&#243;l.docx" TargetMode="External"/><Relationship Id="rId33" Type="http://schemas.openxmlformats.org/officeDocument/2006/relationships/chart" Target="charts/chart2.xml"/><Relationship Id="rId38" Type="http://schemas.openxmlformats.org/officeDocument/2006/relationships/chart" Target="charts/chart6.xml"/><Relationship Id="rId46" Type="http://schemas.openxmlformats.org/officeDocument/2006/relationships/chart" Target="charts/chart14.xml"/><Relationship Id="rId2" Type="http://schemas.openxmlformats.org/officeDocument/2006/relationships/styles" Target="styles.xml"/><Relationship Id="rId16" Type="http://schemas.openxmlformats.org/officeDocument/2006/relationships/hyperlink" Target="file:///C:\Users\milkovics.marianna\Desktop\ktmajus\01.%20&#193;tfog&#243;%20&#233;rt&#233;kel&#233;s%20a%20gyermekv&#233;delmi%20feladatokr&#243;l\El&#337;terjeszt&#233;s_&#225;tfog&#243;%20&#233;rt&#233;kel&#233;s%20a%20gyerv&#233;d%20feladatokr&#243;l.docx" TargetMode="External"/><Relationship Id="rId20" Type="http://schemas.openxmlformats.org/officeDocument/2006/relationships/hyperlink" Target="file:///C:\Users\milkovics.marianna\Desktop\ktmajus\01.%20&#193;tfog&#243;%20&#233;rt&#233;kel&#233;s%20a%20gyermekv&#233;delmi%20feladatokr&#243;l\El&#337;terjeszt&#233;s_&#225;tfog&#243;%20&#233;rt&#233;kel&#233;s%20a%20gyerv&#233;d%20feladatokr&#243;l.docx" TargetMode="External"/><Relationship Id="rId29" Type="http://schemas.openxmlformats.org/officeDocument/2006/relationships/image" Target="media/image3.png"/><Relationship Id="rId41" Type="http://schemas.openxmlformats.org/officeDocument/2006/relationships/chart" Target="charts/chart9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file:///C:\Users\milkovics.marianna\Desktop\ktmajus\01.%20&#193;tfog&#243;%20&#233;rt&#233;kel&#233;s%20a%20gyermekv&#233;delmi%20feladatokr&#243;l\El&#337;terjeszt&#233;s_&#225;tfog&#243;%20&#233;rt&#233;kel&#233;s%20a%20gyerv&#233;d%20feladatokr&#243;l.docx" TargetMode="External"/><Relationship Id="rId24" Type="http://schemas.openxmlformats.org/officeDocument/2006/relationships/hyperlink" Target="file:///C:\Users\milkovics.marianna\Desktop\ktmajus\01.%20&#193;tfog&#243;%20&#233;rt&#233;kel&#233;s%20a%20gyermekv&#233;delmi%20feladatokr&#243;l\El&#337;terjeszt&#233;s_&#225;tfog&#243;%20&#233;rt&#233;kel&#233;s%20a%20gyerv&#233;d%20feladatokr&#243;l.docx" TargetMode="External"/><Relationship Id="rId32" Type="http://schemas.openxmlformats.org/officeDocument/2006/relationships/image" Target="media/image6.png"/><Relationship Id="rId37" Type="http://schemas.openxmlformats.org/officeDocument/2006/relationships/chart" Target="charts/chart5.xml"/><Relationship Id="rId40" Type="http://schemas.openxmlformats.org/officeDocument/2006/relationships/chart" Target="charts/chart8.xml"/><Relationship Id="rId45" Type="http://schemas.openxmlformats.org/officeDocument/2006/relationships/chart" Target="charts/chart13.xml"/><Relationship Id="rId5" Type="http://schemas.openxmlformats.org/officeDocument/2006/relationships/image" Target="media/image1.wmf"/><Relationship Id="rId15" Type="http://schemas.openxmlformats.org/officeDocument/2006/relationships/hyperlink" Target="file:///C:\Users\milkovics.marianna\Desktop\ktmajus\01.%20&#193;tfog&#243;%20&#233;rt&#233;kel&#233;s%20a%20gyermekv&#233;delmi%20feladatokr&#243;l\El&#337;terjeszt&#233;s_&#225;tfog&#243;%20&#233;rt&#233;kel&#233;s%20a%20gyerv&#233;d%20feladatokr&#243;l.docx" TargetMode="External"/><Relationship Id="rId23" Type="http://schemas.openxmlformats.org/officeDocument/2006/relationships/hyperlink" Target="file:///C:\Users\milkovics.marianna\Desktop\ktmajus\01.%20&#193;tfog&#243;%20&#233;rt&#233;kel&#233;s%20a%20gyermekv&#233;delmi%20feladatokr&#243;l\El&#337;terjeszt&#233;s_&#225;tfog&#243;%20&#233;rt&#233;kel&#233;s%20a%20gyerv&#233;d%20feladatokr&#243;l.docx" TargetMode="External"/><Relationship Id="rId28" Type="http://schemas.openxmlformats.org/officeDocument/2006/relationships/image" Target="media/image2.png"/><Relationship Id="rId36" Type="http://schemas.openxmlformats.org/officeDocument/2006/relationships/chart" Target="charts/chart4.xml"/><Relationship Id="rId49" Type="http://schemas.openxmlformats.org/officeDocument/2006/relationships/fontTable" Target="fontTable.xml"/><Relationship Id="rId10" Type="http://schemas.openxmlformats.org/officeDocument/2006/relationships/hyperlink" Target="file:///C:\Users\milkovics.marianna\Desktop\ktmajus\01.%20&#193;tfog&#243;%20&#233;rt&#233;kel&#233;s%20a%20gyermekv&#233;delmi%20feladatokr&#243;l\El&#337;terjeszt&#233;s_&#225;tfog&#243;%20&#233;rt&#233;kel&#233;s%20a%20gyerv&#233;d%20feladatokr&#243;l.docx" TargetMode="External"/><Relationship Id="rId19" Type="http://schemas.openxmlformats.org/officeDocument/2006/relationships/hyperlink" Target="file:///C:\Users\milkovics.marianna\Desktop\ktmajus\01.%20&#193;tfog&#243;%20&#233;rt&#233;kel&#233;s%20a%20gyermekv&#233;delmi%20feladatokr&#243;l\El&#337;terjeszt&#233;s_&#225;tfog&#243;%20&#233;rt&#233;kel&#233;s%20a%20gyerv&#233;d%20feladatokr&#243;l.docx" TargetMode="External"/><Relationship Id="rId31" Type="http://schemas.openxmlformats.org/officeDocument/2006/relationships/image" Target="media/image5.jpeg"/><Relationship Id="rId44" Type="http://schemas.openxmlformats.org/officeDocument/2006/relationships/chart" Target="charts/chart12.xml"/><Relationship Id="rId4" Type="http://schemas.openxmlformats.org/officeDocument/2006/relationships/webSettings" Target="webSettings.xml"/><Relationship Id="rId9" Type="http://schemas.openxmlformats.org/officeDocument/2006/relationships/hyperlink" Target="file:///C:\Users\milkovics.marianna\Desktop\ktmajus\01.%20&#193;tfog&#243;%20&#233;rt&#233;kel&#233;s%20a%20gyermekv&#233;delmi%20feladatokr&#243;l\El&#337;terjeszt&#233;s_&#225;tfog&#243;%20&#233;rt&#233;kel&#233;s%20a%20gyerv&#233;d%20feladatokr&#243;l.docx" TargetMode="External"/><Relationship Id="rId14" Type="http://schemas.openxmlformats.org/officeDocument/2006/relationships/hyperlink" Target="file:///C:\Users\milkovics.marianna\Desktop\ktmajus\01.%20&#193;tfog&#243;%20&#233;rt&#233;kel&#233;s%20a%20gyermekv&#233;delmi%20feladatokr&#243;l\El&#337;terjeszt&#233;s_&#225;tfog&#243;%20&#233;rt&#233;kel&#233;s%20a%20gyerv&#233;d%20feladatokr&#243;l.docx" TargetMode="External"/><Relationship Id="rId22" Type="http://schemas.openxmlformats.org/officeDocument/2006/relationships/hyperlink" Target="file:///C:\Users\milkovics.marianna\Desktop\ktmajus\01.%20&#193;tfog&#243;%20&#233;rt&#233;kel&#233;s%20a%20gyermekv&#233;delmi%20feladatokr&#243;l\El&#337;terjeszt&#233;s_&#225;tfog&#243;%20&#233;rt&#233;kel&#233;s%20a%20gyerv&#233;d%20feladatokr&#243;l.docx" TargetMode="External"/><Relationship Id="rId27" Type="http://schemas.openxmlformats.org/officeDocument/2006/relationships/chart" Target="charts/chart1.xml"/><Relationship Id="rId30" Type="http://schemas.openxmlformats.org/officeDocument/2006/relationships/image" Target="media/image4.png"/><Relationship Id="rId35" Type="http://schemas.openxmlformats.org/officeDocument/2006/relationships/chart" Target="charts/chart3.xml"/><Relationship Id="rId43" Type="http://schemas.openxmlformats.org/officeDocument/2006/relationships/chart" Target="charts/chart11.xml"/><Relationship Id="rId48" Type="http://schemas.openxmlformats.org/officeDocument/2006/relationships/chart" Target="charts/chart16.xml"/><Relationship Id="rId8" Type="http://schemas.openxmlformats.org/officeDocument/2006/relationships/hyperlink" Target="file:///C:\Users\milkovics.marianna\Desktop\ktmajus\01.%20&#193;tfog&#243;%20&#233;rt&#233;kel&#233;s%20a%20gyermekv&#233;delmi%20feladatokr&#243;l\El&#337;terjeszt&#233;s_&#225;tfog&#243;%20&#233;rt&#233;kel&#233;s%20a%20gyerv&#233;d%20feladatokr&#243;l.docx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file:///\\net-server\Igazgatasi%20irodavezeto\Lajos%20NET\Gy&#225;mhat&#243;s&#225;gi%20feladatok\&#193;tfog&#243;%20&#233;rt&#233;kel&#233;s\2024\diagrammok.xlsx" TargetMode="Externa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nebulon01\DocStore\Iroda\BESZ&#193;MOL&#211;\Diagrammok\Gyermek&#233;tk_iskola%20diagram.xlsx" TargetMode="External"/><Relationship Id="rId2" Type="http://schemas.microsoft.com/office/2011/relationships/chartColorStyle" Target="colors9.xml"/><Relationship Id="rId1" Type="http://schemas.microsoft.com/office/2011/relationships/chartStyle" Target="style9.xml"/><Relationship Id="rId4" Type="http://schemas.openxmlformats.org/officeDocument/2006/relationships/chartUserShapes" Target="../drawings/drawing6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nebulon01\DocStore\Iroda\BESZ&#193;MOL&#211;\Diagrammok\Gyermek&#233;tk_sz&#252;nidei%20diagram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nebulon01\DocStore\Iroda\BESZ&#193;MOL&#211;\Diagrammok\Gyermek&#233;tk_sz&#252;nidei%20diagram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\\net-server\Igazgatasi%20irodavezeto\Lajos%20NET\Gy&#225;mhat&#243;s&#225;gi%20feladatok\&#193;tfog&#243;%20&#233;rt&#233;kel&#233;s\2025\diagrammok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\\net-server\Igazgatasi%20irodavezeto\Lajos%20NET\Gy&#225;mhat&#243;s&#225;gi%20feladatok\&#193;tfog&#243;%20&#233;rt&#233;kel&#233;s\2025\diagrammok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file:///\\net-server\Igazgatasi%20irodavezeto\Lajos%20NET\Gy&#225;mhat&#243;s&#225;gi%20feladatok\&#193;tfog&#243;%20&#233;rt&#233;kel&#233;s\2025\diagrammok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oleObject" Target="file:///\\net-server\Igazgatasi%20irodavezeto\Lajos%20NET\Gy&#225;mhat&#243;s&#225;gi%20feladatok\&#193;tfog&#243;%20&#233;rt&#233;kel&#233;s\2025\diagrammok.xlsx" TargetMode="External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nebulon01\DocStore\Iroda\BESZ&#193;MOL&#211;\Diagrammok\Gyermek&#233;tk_b&#246;lcs&#337;de%20diagram.xlsx" TargetMode="Externa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1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nebulon01\DocStore\Iroda\BESZ&#193;MOL&#211;\Diagrammok\Gyermek&#233;tk_b&#246;lcs&#337;de%20diagram.xlsx" TargetMode="Externa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chartUserShapes" Target="../drawings/drawing2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nebulon01\DocStore\Iroda\BESZ&#193;MOL&#211;\Diagrammok\Gyermek&#233;tk_&#243;voda%20diagram.xlsx" TargetMode="Externa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chartUserShapes" Target="../drawings/drawing3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nebulon01\DocStore\Iroda\BESZ&#193;MOL&#211;\Diagrammok\Gyermek&#233;tk_&#243;voda%20diagram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\\net-server\Igazgatasi%20irodavezeto\Lajos%20NET\Gy&#225;mhat&#243;s&#225;gi%20feladatok\&#193;tfog&#243;%20&#233;rt&#233;kel&#233;s\2025\diagrammok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nebulon01\DocStore\Iroda\BESZ&#193;MOL&#211;\Diagrammok\Gyermek&#233;tk_iskola%20diagram.xlsx" TargetMode="External"/><Relationship Id="rId2" Type="http://schemas.microsoft.com/office/2011/relationships/chartColorStyle" Target="colors7.xml"/><Relationship Id="rId1" Type="http://schemas.microsoft.com/office/2011/relationships/chartStyle" Target="style7.xml"/><Relationship Id="rId4" Type="http://schemas.openxmlformats.org/officeDocument/2006/relationships/chartUserShapes" Target="../drawings/drawing4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nebulon01\DocStore\Iroda\BESZ&#193;MOL&#211;\Diagrammok\Gyermek&#233;tk_iskola%20diagram.xlsx" TargetMode="External"/><Relationship Id="rId2" Type="http://schemas.microsoft.com/office/2011/relationships/chartColorStyle" Target="colors8.xml"/><Relationship Id="rId1" Type="http://schemas.microsoft.com/office/2011/relationships/chartStyle" Target="style8.xml"/><Relationship Id="rId4" Type="http://schemas.openxmlformats.org/officeDocument/2006/relationships/chartUserShapes" Target="../drawings/drawing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hu-HU" sz="1800" b="0" i="0" baseline="0">
                <a:effectLst/>
              </a:rPr>
              <a:t>Szigethalom állandó lakosságának megoszlása korcsoport alapján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4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plotArea>
      <c:layout/>
      <c:barChart>
        <c:barDir val="bar"/>
        <c:grouping val="percentStacked"/>
        <c:varyColors val="0"/>
        <c:ser>
          <c:idx val="0"/>
          <c:order val="0"/>
          <c:tx>
            <c:strRef>
              <c:f>lakosságszám!$B$2:$B$3</c:f>
              <c:strCache>
                <c:ptCount val="2"/>
                <c:pt idx="0">
                  <c:v>lakosságszám (fő)</c:v>
                </c:pt>
                <c:pt idx="1">
                  <c:v>0-18 éves korosztály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lakosságszám!$A$6:$A$10</c:f>
              <c:strCache>
                <c:ptCount val="5"/>
                <c:pt idx="0">
                  <c:v>2020. év</c:v>
                </c:pt>
                <c:pt idx="1">
                  <c:v>2021. év</c:v>
                </c:pt>
                <c:pt idx="2">
                  <c:v>2022. év</c:v>
                </c:pt>
                <c:pt idx="3">
                  <c:v>2023. év</c:v>
                </c:pt>
                <c:pt idx="4">
                  <c:v>2024. év</c:v>
                </c:pt>
              </c:strCache>
            </c:strRef>
          </c:cat>
          <c:val>
            <c:numRef>
              <c:f>lakosságszám!$B$6:$B$10</c:f>
              <c:numCache>
                <c:formatCode>General</c:formatCode>
                <c:ptCount val="5"/>
                <c:pt idx="0">
                  <c:v>3842</c:v>
                </c:pt>
                <c:pt idx="1">
                  <c:v>3869</c:v>
                </c:pt>
                <c:pt idx="2">
                  <c:v>3923</c:v>
                </c:pt>
                <c:pt idx="3">
                  <c:v>3892</c:v>
                </c:pt>
                <c:pt idx="4">
                  <c:v>3849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628C-402C-96A4-3F128635047B}"/>
            </c:ext>
          </c:extLst>
        </c:ser>
        <c:ser>
          <c:idx val="1"/>
          <c:order val="1"/>
          <c:tx>
            <c:strRef>
              <c:f>lakosságszám!$C$2:$C$3</c:f>
              <c:strCache>
                <c:ptCount val="2"/>
                <c:pt idx="0">
                  <c:v>lakosságszám (fő)</c:v>
                </c:pt>
                <c:pt idx="1">
                  <c:v>19-100 éves korosztály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lakosságszám!$A$6:$A$10</c:f>
              <c:strCache>
                <c:ptCount val="5"/>
                <c:pt idx="0">
                  <c:v>2020. év</c:v>
                </c:pt>
                <c:pt idx="1">
                  <c:v>2021. év</c:v>
                </c:pt>
                <c:pt idx="2">
                  <c:v>2022. év</c:v>
                </c:pt>
                <c:pt idx="3">
                  <c:v>2023. év</c:v>
                </c:pt>
                <c:pt idx="4">
                  <c:v>2024. év</c:v>
                </c:pt>
              </c:strCache>
            </c:strRef>
          </c:cat>
          <c:val>
            <c:numRef>
              <c:f>lakosságszám!$C$6:$C$10</c:f>
              <c:numCache>
                <c:formatCode>General</c:formatCode>
                <c:ptCount val="5"/>
                <c:pt idx="0">
                  <c:v>14891</c:v>
                </c:pt>
                <c:pt idx="1">
                  <c:v>15044</c:v>
                </c:pt>
                <c:pt idx="2">
                  <c:v>15178</c:v>
                </c:pt>
                <c:pt idx="3">
                  <c:v>15216</c:v>
                </c:pt>
                <c:pt idx="4">
                  <c:v>15331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628C-402C-96A4-3F128635047B}"/>
            </c:ext>
          </c:extLst>
        </c:ser>
        <c:ser>
          <c:idx val="2"/>
          <c:order val="2"/>
          <c:tx>
            <c:strRef>
              <c:f>lakosságszám!$D$2:$D$3</c:f>
              <c:strCache>
                <c:ptCount val="2"/>
                <c:pt idx="0">
                  <c:v>lakosságszám (fő)</c:v>
                </c:pt>
                <c:pt idx="1">
                  <c:v>Összesen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lakosságszám!$A$6:$A$10</c:f>
              <c:strCache>
                <c:ptCount val="5"/>
                <c:pt idx="0">
                  <c:v>2020. év</c:v>
                </c:pt>
                <c:pt idx="1">
                  <c:v>2021. év</c:v>
                </c:pt>
                <c:pt idx="2">
                  <c:v>2022. év</c:v>
                </c:pt>
                <c:pt idx="3">
                  <c:v>2023. év</c:v>
                </c:pt>
                <c:pt idx="4">
                  <c:v>2024. év</c:v>
                </c:pt>
              </c:strCache>
            </c:strRef>
          </c:cat>
          <c:val>
            <c:numRef>
              <c:f>lakosságszám!$D$6:$D$10</c:f>
              <c:numCache>
                <c:formatCode>General</c:formatCode>
                <c:ptCount val="5"/>
                <c:pt idx="0">
                  <c:v>18733</c:v>
                </c:pt>
                <c:pt idx="1">
                  <c:v>18913</c:v>
                </c:pt>
                <c:pt idx="2">
                  <c:v>19101</c:v>
                </c:pt>
                <c:pt idx="3">
                  <c:v>19108</c:v>
                </c:pt>
                <c:pt idx="4">
                  <c:v>19180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628C-402C-96A4-3F128635047B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579969952"/>
        <c:axId val="579975832"/>
      </c:barChart>
      <c:catAx>
        <c:axId val="57996995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579975832"/>
        <c:crosses val="autoZero"/>
        <c:auto val="1"/>
        <c:lblAlgn val="ctr"/>
        <c:lblOffset val="100"/>
        <c:noMultiLvlLbl val="0"/>
      </c:catAx>
      <c:valAx>
        <c:axId val="57997583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5799699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4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 b="1"/>
              <a:t>Általános iskolai gyermekétkeztetés arányai a normatív kedvezmények szerint (2025)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5685931115002919E-2"/>
          <c:y val="0.16171809801573422"/>
          <c:w val="0.63220670095747666"/>
          <c:h val="0.79890830574316185"/>
        </c:manualLayout>
      </c:layout>
      <c:pie3DChart>
        <c:varyColors val="1"/>
        <c:ser>
          <c:idx val="0"/>
          <c:order val="0"/>
          <c:spPr>
            <a:solidFill>
              <a:schemeClr val="accent5">
                <a:lumMod val="50000"/>
              </a:schemeClr>
            </a:solidFill>
            <a:ln>
              <a:solidFill>
                <a:schemeClr val="accent1">
                  <a:lumMod val="75000"/>
                </a:schemeClr>
              </a:solidFill>
            </a:ln>
          </c:spPr>
          <c:dPt>
            <c:idx val="0"/>
            <c:bubble3D val="0"/>
            <c:spPr>
              <a:solidFill>
                <a:schemeClr val="accent5">
                  <a:lumMod val="50000"/>
                </a:schemeClr>
              </a:solidFill>
              <a:ln w="25400">
                <a:solidFill>
                  <a:schemeClr val="accent1">
                    <a:lumMod val="75000"/>
                  </a:schemeClr>
                </a:solidFill>
              </a:ln>
              <a:effectLst/>
              <a:sp3d contourW="25400">
                <a:contourClr>
                  <a:schemeClr val="accent1">
                    <a:lumMod val="75000"/>
                  </a:schemeClr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F6B4-4548-81B2-817DAC3FA9A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accent2"/>
                </a:solidFill>
              </a:ln>
              <a:effectLst/>
              <a:sp3d contourW="25400">
                <a:contourClr>
                  <a:schemeClr val="accent2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F6B4-4548-81B2-817DAC3FA9A5}"/>
              </c:ext>
            </c:extLst>
          </c:dPt>
          <c:dPt>
            <c:idx val="2"/>
            <c:bubble3D val="0"/>
            <c:spPr>
              <a:solidFill>
                <a:schemeClr val="accent4"/>
              </a:solidFill>
              <a:ln w="25400">
                <a:solidFill>
                  <a:schemeClr val="accent4">
                    <a:lumMod val="60000"/>
                    <a:lumOff val="40000"/>
                  </a:schemeClr>
                </a:solidFill>
              </a:ln>
              <a:effectLst/>
              <a:sp3d contourW="25400">
                <a:contourClr>
                  <a:schemeClr val="accent4">
                    <a:lumMod val="60000"/>
                    <a:lumOff val="40000"/>
                  </a:schemeClr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F6B4-4548-81B2-817DAC3FA9A5}"/>
              </c:ext>
            </c:extLst>
          </c:dPt>
          <c:dLbls>
            <c:dLbl>
              <c:idx val="0"/>
              <c:layout>
                <c:manualLayout>
                  <c:x val="-4.7523201456210314E-2"/>
                  <c:y val="0.12642145833890395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F6B4-4548-81B2-817DAC3FA9A5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0.20885419970489677"/>
                  <c:y val="-4.9207191996669099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6B4-4548-81B2-817DAC3FA9A5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16323142619431766"/>
                  <c:y val="-9.962909343713115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1" i="0" u="none" strike="noStrike" kern="1200" baseline="0">
                      <a:solidFill>
                        <a:srgbClr val="00206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hu-HU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6B4-4548-81B2-817DAC3FA9A5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accent4">
                        <a:lumMod val="20000"/>
                        <a:lumOff val="8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ctr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'Ált. iskola 2025'!$A$21:$C$23</c:f>
              <c:strCache>
                <c:ptCount val="3"/>
                <c:pt idx="0">
                  <c:v>100 %-os normatív kedvezményben részesülők adagszáma</c:v>
                </c:pt>
                <c:pt idx="1">
                  <c:v>50 %-os normatív kedvezményben részesülők adagszáma</c:v>
                </c:pt>
                <c:pt idx="2">
                  <c:v>Normatív kedvezményben nem részesülők adagszáma</c:v>
                </c:pt>
              </c:strCache>
            </c:strRef>
          </c:cat>
          <c:val>
            <c:numRef>
              <c:f>'Ált. iskola 2025'!$G$21:$G$23</c:f>
              <c:numCache>
                <c:formatCode>General</c:formatCode>
                <c:ptCount val="3"/>
                <c:pt idx="0">
                  <c:v>6769</c:v>
                </c:pt>
                <c:pt idx="1">
                  <c:v>44557</c:v>
                </c:pt>
                <c:pt idx="2">
                  <c:v>68052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F6B4-4548-81B2-817DAC3FA9A5}"/>
            </c:ext>
          </c:extLst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5789263207247961"/>
          <c:y val="0.27363578380654457"/>
          <c:w val="0.32809686004660976"/>
          <c:h val="0.6717172158442509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rtl="0">
            <a:defRPr sz="11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gradFill flip="none" rotWithShape="1">
      <a:gsLst>
        <a:gs pos="0">
          <a:schemeClr val="accent5">
            <a:lumMod val="5000"/>
            <a:lumOff val="95000"/>
          </a:schemeClr>
        </a:gs>
        <a:gs pos="74000">
          <a:schemeClr val="accent5">
            <a:lumMod val="45000"/>
            <a:lumOff val="55000"/>
          </a:schemeClr>
        </a:gs>
        <a:gs pos="83000">
          <a:schemeClr val="accent5">
            <a:lumMod val="45000"/>
            <a:lumOff val="55000"/>
          </a:schemeClr>
        </a:gs>
        <a:gs pos="100000">
          <a:schemeClr val="accent5">
            <a:lumMod val="30000"/>
            <a:lumOff val="70000"/>
          </a:schemeClr>
        </a:gs>
      </a:gsLst>
      <a:lin ang="5400000" scaled="1"/>
      <a:tileRect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  <c:userShapes r:id="rId4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3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 sz="1300"/>
              <a:t>Szünidei gyermekétkeztetés adagszámai (2025)</a:t>
            </a:r>
          </a:p>
        </c:rich>
      </c:tx>
      <c:layout>
        <c:manualLayout>
          <c:xMode val="edge"/>
          <c:yMode val="edge"/>
          <c:x val="0.16089142814238661"/>
          <c:y val="9.6873613877793557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3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9102223310874922E-2"/>
          <c:y val="0.11668426791580236"/>
          <c:w val="0.91853751487476021"/>
          <c:h val="0.67163811374106441"/>
        </c:manualLayout>
      </c:layout>
      <c:bar3DChart>
        <c:barDir val="col"/>
        <c:grouping val="clustered"/>
        <c:varyColors val="0"/>
        <c:ser>
          <c:idx val="0"/>
          <c:order val="0"/>
          <c:tx>
            <c:v>Igényelt/lefőzött adag</c:v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75000"/>
                </a:schemeClr>
              </a:contourClr>
            </a:sp3d>
          </c:spPr>
          <c:invertIfNegative val="0"/>
          <c:dLbls>
            <c:spPr>
              <a:solidFill>
                <a:schemeClr val="bg1">
                  <a:lumMod val="95000"/>
                </a:schemeClr>
              </a:solidFill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'Szünidei 2025'!$P$34:$P$37</c:f>
              <c:strCache>
                <c:ptCount val="4"/>
                <c:pt idx="0">
                  <c:v>Tavaszi</c:v>
                </c:pt>
                <c:pt idx="1">
                  <c:v>Nyári </c:v>
                </c:pt>
                <c:pt idx="2">
                  <c:v>Öszi</c:v>
                </c:pt>
                <c:pt idx="3">
                  <c:v>Téli</c:v>
                </c:pt>
              </c:strCache>
            </c:strRef>
          </c:cat>
          <c:val>
            <c:numRef>
              <c:f>'Szünidei 2025'!$Q$34:$Q$37</c:f>
              <c:numCache>
                <c:formatCode>General</c:formatCode>
                <c:ptCount val="4"/>
                <c:pt idx="0">
                  <c:v>48</c:v>
                </c:pt>
                <c:pt idx="1">
                  <c:v>344</c:v>
                </c:pt>
                <c:pt idx="2">
                  <c:v>35</c:v>
                </c:pt>
                <c:pt idx="3">
                  <c:v>70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54A-4F30-9277-0E46679D3504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5"/>
        <c:shape val="box"/>
        <c:axId val="509412232"/>
        <c:axId val="509411448"/>
        <c:axId val="0"/>
      </c:bar3DChart>
      <c:catAx>
        <c:axId val="5094122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509411448"/>
        <c:crosses val="autoZero"/>
        <c:auto val="1"/>
        <c:lblAlgn val="ctr"/>
        <c:lblOffset val="100"/>
        <c:noMultiLvlLbl val="0"/>
      </c:catAx>
      <c:valAx>
        <c:axId val="5094114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50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hu-HU"/>
                  <a:t>Adagszám</a:t>
                </a:r>
              </a:p>
            </c:rich>
          </c:tx>
          <c:layout>
            <c:manualLayout>
              <c:xMode val="edge"/>
              <c:yMode val="edge"/>
              <c:x val="1.1139878221641223E-2"/>
              <c:y val="0.3314687069622760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1" i="0" u="none" strike="noStrike" kern="1200" baseline="0">
                  <a:solidFill>
                    <a:schemeClr val="dk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hu-H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5094122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gradFill flip="none" rotWithShape="1">
      <a:gsLst>
        <a:gs pos="0">
          <a:schemeClr val="accent1">
            <a:lumMod val="5000"/>
            <a:lumOff val="95000"/>
          </a:schemeClr>
        </a:gs>
        <a:gs pos="74000">
          <a:schemeClr val="accent1">
            <a:lumMod val="45000"/>
            <a:lumOff val="55000"/>
          </a:schemeClr>
        </a:gs>
        <a:gs pos="83000">
          <a:schemeClr val="accent1">
            <a:lumMod val="45000"/>
            <a:lumOff val="55000"/>
          </a:schemeClr>
        </a:gs>
        <a:gs pos="100000">
          <a:schemeClr val="accent1">
            <a:lumMod val="30000"/>
            <a:lumOff val="70000"/>
          </a:schemeClr>
        </a:gs>
      </a:gsLst>
      <a:lin ang="5400000" scaled="1"/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3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 sz="1300"/>
              <a:t>Szünidei</a:t>
            </a:r>
            <a:r>
              <a:rPr lang="hu-HU" sz="1300" baseline="0"/>
              <a:t> gyermekétkeztetés adagszámai</a:t>
            </a:r>
          </a:p>
          <a:p>
            <a:pPr>
              <a:defRPr sz="1300"/>
            </a:pPr>
            <a:r>
              <a:rPr lang="hu-HU" sz="1300" baseline="0"/>
              <a:t>2016-2025</a:t>
            </a:r>
            <a:endParaRPr lang="hu-HU" sz="13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3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'Szünidei 2025'!$B$23</c:f>
              <c:strCache>
                <c:ptCount val="1"/>
                <c:pt idx="0">
                  <c:v>Igényelt/lefőzött adag</c:v>
                </c:pt>
              </c:strCache>
            </c:strRef>
          </c:tx>
          <c:spPr>
            <a:ln w="28575" cap="rnd">
              <a:solidFill>
                <a:schemeClr val="accent2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rgbClr val="00B0F0"/>
              </a:solidFill>
              <a:ln w="9525">
                <a:solidFill>
                  <a:schemeClr val="accent1">
                    <a:lumMod val="75000"/>
                  </a:schemeClr>
                </a:solidFill>
              </a:ln>
              <a:effectLst/>
            </c:spPr>
          </c:marker>
          <c:dLbls>
            <c:dLbl>
              <c:idx val="5"/>
              <c:layout>
                <c:manualLayout>
                  <c:x val="-1.2516652141606601E-2"/>
                  <c:y val="-5.79388831088823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ECB-4AB2-913D-CC5951710290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'Szünidei 2025'!$A$24:$A$33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'Szünidei 2025'!$B$24:$B$33</c:f>
              <c:numCache>
                <c:formatCode>General</c:formatCode>
                <c:ptCount val="10"/>
                <c:pt idx="0">
                  <c:v>2472</c:v>
                </c:pt>
                <c:pt idx="1">
                  <c:v>2815</c:v>
                </c:pt>
                <c:pt idx="2">
                  <c:v>2284</c:v>
                </c:pt>
                <c:pt idx="3">
                  <c:v>1423</c:v>
                </c:pt>
                <c:pt idx="4">
                  <c:v>1405</c:v>
                </c:pt>
                <c:pt idx="5">
                  <c:v>945</c:v>
                </c:pt>
                <c:pt idx="6">
                  <c:v>762</c:v>
                </c:pt>
                <c:pt idx="7">
                  <c:v>539</c:v>
                </c:pt>
                <c:pt idx="8">
                  <c:v>710</c:v>
                </c:pt>
                <c:pt idx="9">
                  <c:v>497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2ECB-4AB2-913D-CC5951710290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509405568"/>
        <c:axId val="509406352"/>
      </c:lineChart>
      <c:catAx>
        <c:axId val="5094055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509406352"/>
        <c:crosses val="autoZero"/>
        <c:auto val="1"/>
        <c:lblAlgn val="ctr"/>
        <c:lblOffset val="100"/>
        <c:noMultiLvlLbl val="0"/>
      </c:catAx>
      <c:valAx>
        <c:axId val="5094063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60000"/>
                  <a:lumOff val="40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hu-HU"/>
                  <a:t>Adagszám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hu-H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509405568"/>
        <c:crosses val="autoZero"/>
        <c:crossBetween val="between"/>
      </c:valAx>
      <c:spPr>
        <a:gradFill flip="none" rotWithShape="1">
          <a:gsLst>
            <a:gs pos="0">
              <a:srgbClr val="6A8ED0"/>
            </a:gs>
            <a:gs pos="43000">
              <a:schemeClr val="accent1">
                <a:tint val="44500"/>
                <a:satMod val="160000"/>
              </a:schemeClr>
            </a:gs>
            <a:gs pos="87000">
              <a:schemeClr val="accent1">
                <a:lumMod val="20000"/>
                <a:lumOff val="80000"/>
              </a:schemeClr>
            </a:gs>
          </a:gsLst>
          <a:lin ang="5400000" scaled="1"/>
          <a:tileRect/>
        </a:gradFill>
        <a:ln>
          <a:noFill/>
        </a:ln>
        <a:effectLst/>
      </c:spPr>
    </c:plotArea>
    <c:legend>
      <c:legendPos val="b"/>
      <c:overlay val="0"/>
      <c:spPr>
        <a:solidFill>
          <a:schemeClr val="accent1">
            <a:lumMod val="40000"/>
            <a:lumOff val="60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legend>
    <c:plotVisOnly val="1"/>
    <c:dispBlanksAs val="zero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gradFill flip="none" rotWithShape="1">
      <a:gsLst>
        <a:gs pos="0">
          <a:schemeClr val="accent1">
            <a:tint val="66000"/>
            <a:satMod val="16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16200000" scaled="1"/>
      <a:tileRect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/>
              <a:t>Igénybe</a:t>
            </a:r>
            <a:r>
              <a:rPr lang="hu-HU" baseline="0"/>
              <a:t> vevő személyek és </a:t>
            </a:r>
          </a:p>
          <a:p>
            <a:pPr>
              <a:defRPr/>
            </a:pPr>
            <a:r>
              <a:rPr lang="hu-HU" baseline="0"/>
              <a:t>az érintett családok száma</a:t>
            </a:r>
            <a:endParaRPr lang="hu-H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családsegítő!$H$2</c:f>
              <c:strCache>
                <c:ptCount val="1"/>
                <c:pt idx="0">
                  <c:v>együttműködési megállapodás alapján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családsegítő!$I$1:$J$1</c:f>
              <c:strCache>
                <c:ptCount val="2"/>
                <c:pt idx="0">
                  <c:v>Igénybe vevő személyek száma</c:v>
                </c:pt>
                <c:pt idx="1">
                  <c:v>igénybe vevő családok száma</c:v>
                </c:pt>
              </c:strCache>
            </c:strRef>
          </c:cat>
          <c:val>
            <c:numRef>
              <c:f>családsegítő!$I$2:$J$2</c:f>
              <c:numCache>
                <c:formatCode>General</c:formatCode>
                <c:ptCount val="2"/>
                <c:pt idx="0">
                  <c:v>317</c:v>
                </c:pt>
                <c:pt idx="1">
                  <c:v>138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AB0-4F59-9087-00DBD8190954}"/>
            </c:ext>
          </c:extLst>
        </c:ser>
        <c:ser>
          <c:idx val="1"/>
          <c:order val="1"/>
          <c:tx>
            <c:strRef>
              <c:f>családsegítő!$H$3</c:f>
              <c:strCache>
                <c:ptCount val="1"/>
                <c:pt idx="0">
                  <c:v>nem együttműködési megállapodás alapján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családsegítő!$I$1:$J$1</c:f>
              <c:strCache>
                <c:ptCount val="2"/>
                <c:pt idx="0">
                  <c:v>Igénybe vevő személyek száma</c:v>
                </c:pt>
                <c:pt idx="1">
                  <c:v>igénybe vevő családok száma</c:v>
                </c:pt>
              </c:strCache>
            </c:strRef>
          </c:cat>
          <c:val>
            <c:numRef>
              <c:f>családsegítő!$I$3:$J$3</c:f>
              <c:numCache>
                <c:formatCode>General</c:formatCode>
                <c:ptCount val="2"/>
                <c:pt idx="0">
                  <c:v>347</c:v>
                </c:pt>
                <c:pt idx="1">
                  <c:v>298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AAB0-4F59-9087-00DBD8190954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509418896"/>
        <c:axId val="509417328"/>
      </c:barChart>
      <c:catAx>
        <c:axId val="5094188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509417328"/>
        <c:crosses val="autoZero"/>
        <c:auto val="1"/>
        <c:lblAlgn val="ctr"/>
        <c:lblOffset val="100"/>
        <c:noMultiLvlLbl val="0"/>
      </c:catAx>
      <c:valAx>
        <c:axId val="5094173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5094188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A gyermekkel kapcsolatos ellátás igénybevételére okot adó elsődleges probléma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'elsődleges probléma'!$A$2:$A$14</c:f>
              <c:strCache>
                <c:ptCount val="13"/>
                <c:pt idx="0">
                  <c:v>beilleszkedési nehézség</c:v>
                </c:pt>
                <c:pt idx="1">
                  <c:v>pszichiátriai betegség</c:v>
                </c:pt>
                <c:pt idx="2">
                  <c:v>egyéb</c:v>
                </c:pt>
                <c:pt idx="3">
                  <c:v>fogyatékosság</c:v>
                </c:pt>
                <c:pt idx="4">
                  <c:v>anyagi</c:v>
                </c:pt>
                <c:pt idx="5">
                  <c:v>egészségi</c:v>
                </c:pt>
                <c:pt idx="6">
                  <c:v>szenvedélybetegség</c:v>
                </c:pt>
                <c:pt idx="7">
                  <c:v>gyermeknevelési</c:v>
                </c:pt>
                <c:pt idx="8">
                  <c:v>családi, kapcsolati konfliktus</c:v>
                </c:pt>
                <c:pt idx="9">
                  <c:v>életviteli</c:v>
                </c:pt>
                <c:pt idx="10">
                  <c:v>családon belüli bántalmazás</c:v>
                </c:pt>
                <c:pt idx="11">
                  <c:v>elhanyagolás</c:v>
                </c:pt>
                <c:pt idx="12">
                  <c:v>magatartás-, teljesítményzavar</c:v>
                </c:pt>
              </c:strCache>
            </c:strRef>
          </c:cat>
          <c:val>
            <c:numRef>
              <c:f>'elsődleges probléma'!$B$2:$B$14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2</c:v>
                </c:pt>
                <c:pt idx="3">
                  <c:v>2</c:v>
                </c:pt>
                <c:pt idx="4">
                  <c:v>3</c:v>
                </c:pt>
                <c:pt idx="5">
                  <c:v>3</c:v>
                </c:pt>
                <c:pt idx="6">
                  <c:v>3</c:v>
                </c:pt>
                <c:pt idx="7">
                  <c:v>4</c:v>
                </c:pt>
                <c:pt idx="8">
                  <c:v>13</c:v>
                </c:pt>
                <c:pt idx="9">
                  <c:v>23</c:v>
                </c:pt>
                <c:pt idx="10">
                  <c:v>26</c:v>
                </c:pt>
                <c:pt idx="11">
                  <c:v>28</c:v>
                </c:pt>
                <c:pt idx="12">
                  <c:v>29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2B0-4C1D-A5DD-B97161B98D44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82"/>
        <c:axId val="452386120"/>
        <c:axId val="452392392"/>
      </c:barChart>
      <c:catAx>
        <c:axId val="45238612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2392392"/>
        <c:crosses val="autoZero"/>
        <c:auto val="1"/>
        <c:lblAlgn val="ctr"/>
        <c:lblOffset val="100"/>
        <c:noMultiLvlLbl val="0"/>
      </c:catAx>
      <c:valAx>
        <c:axId val="4523923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238612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/>
              <a:t>Gyermekvédelmi jelzőrendszer tagjaitól érkezett jelzések száma 2024. évben</a:t>
            </a:r>
          </a:p>
          <a:p>
            <a:pPr>
              <a:defRPr/>
            </a:pPr>
            <a:endParaRPr lang="hu-H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[diagrammok.xlsx]jelzések!$A$2:$A$11</c:f>
              <c:strCache>
                <c:ptCount val="10"/>
                <c:pt idx="0">
                  <c:v>büntetés-végrehajtási intézet, pártfogó felügyelő</c:v>
                </c:pt>
                <c:pt idx="1">
                  <c:v>áldozatsegítés és kárenyhítés feladatait ellátó szervezet</c:v>
                </c:pt>
                <c:pt idx="2">
                  <c:v>egyesületek, alapítványok, egyházi jogi személyek</c:v>
                </c:pt>
                <c:pt idx="3">
                  <c:v>önkormányzat, jegyző</c:v>
                </c:pt>
                <c:pt idx="4">
                  <c:v>ügyészség, bíróság</c:v>
                </c:pt>
                <c:pt idx="5">
                  <c:v>személyes gondoskodást nyújtó intézmények</c:v>
                </c:pt>
                <c:pt idx="6">
                  <c:v>egészségügyi szolgáltatók</c:v>
                </c:pt>
                <c:pt idx="7">
                  <c:v>Rendőrség</c:v>
                </c:pt>
                <c:pt idx="8">
                  <c:v>állampolgárok, civil szervezetek</c:v>
                </c:pt>
                <c:pt idx="9">
                  <c:v>köznevelési intézmények, szakképző intézmények</c:v>
                </c:pt>
              </c:strCache>
            </c:strRef>
          </c:cat>
          <c:val>
            <c:numRef>
              <c:f>[diagrammok.xlsx]jelzések!$B$2:$B$11</c:f>
              <c:numCache>
                <c:formatCode>General</c:formatCode>
                <c:ptCount val="10"/>
                <c:pt idx="0">
                  <c:v>1</c:v>
                </c:pt>
                <c:pt idx="1">
                  <c:v>3</c:v>
                </c:pt>
                <c:pt idx="2">
                  <c:v>6</c:v>
                </c:pt>
                <c:pt idx="3">
                  <c:v>7</c:v>
                </c:pt>
                <c:pt idx="4">
                  <c:v>7</c:v>
                </c:pt>
                <c:pt idx="5">
                  <c:v>10</c:v>
                </c:pt>
                <c:pt idx="6">
                  <c:v>18</c:v>
                </c:pt>
                <c:pt idx="7">
                  <c:v>26</c:v>
                </c:pt>
                <c:pt idx="8">
                  <c:v>74</c:v>
                </c:pt>
                <c:pt idx="9">
                  <c:v>110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A6E-4F89-9B20-B4F6D68B8BD6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15"/>
        <c:overlap val="-20"/>
        <c:axId val="452384160"/>
        <c:axId val="452384552"/>
      </c:barChart>
      <c:catAx>
        <c:axId val="45238416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2384552"/>
        <c:crosses val="autoZero"/>
        <c:auto val="1"/>
        <c:lblAlgn val="ctr"/>
        <c:lblOffset val="100"/>
        <c:noMultiLvlLbl val="0"/>
      </c:catAx>
      <c:valAx>
        <c:axId val="45238455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238416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Jelentkezők száma</a:t>
            </a:r>
            <a:r>
              <a:rPr lang="hu-HU"/>
              <a:t> (fő)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bölcsőde!$B$1</c:f>
              <c:strCache>
                <c:ptCount val="1"/>
                <c:pt idx="0">
                  <c:v>Jelentkezők száma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bölcsőde!$A$2:$A$20</c:f>
              <c:numCache>
                <c:formatCode>General</c:formatCode>
                <c:ptCount val="19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  <c:pt idx="8">
                  <c:v>2015</c:v>
                </c:pt>
                <c:pt idx="9">
                  <c:v>2016</c:v>
                </c:pt>
                <c:pt idx="10">
                  <c:v>2017</c:v>
                </c:pt>
                <c:pt idx="11">
                  <c:v>2018</c:v>
                </c:pt>
                <c:pt idx="12">
                  <c:v>2019</c:v>
                </c:pt>
                <c:pt idx="13">
                  <c:v>2020</c:v>
                </c:pt>
                <c:pt idx="14">
                  <c:v>2021</c:v>
                </c:pt>
                <c:pt idx="15">
                  <c:v>2022</c:v>
                </c:pt>
                <c:pt idx="16">
                  <c:v>2023</c:v>
                </c:pt>
                <c:pt idx="17">
                  <c:v>2024</c:v>
                </c:pt>
                <c:pt idx="18">
                  <c:v>2025</c:v>
                </c:pt>
              </c:numCache>
            </c:numRef>
          </c:xVal>
          <c:yVal>
            <c:numRef>
              <c:f>bölcsőde!$B$2:$B$20</c:f>
              <c:numCache>
                <c:formatCode>General</c:formatCode>
                <c:ptCount val="19"/>
                <c:pt idx="0">
                  <c:v>45</c:v>
                </c:pt>
                <c:pt idx="1">
                  <c:v>109</c:v>
                </c:pt>
                <c:pt idx="2">
                  <c:v>135</c:v>
                </c:pt>
                <c:pt idx="3">
                  <c:v>158</c:v>
                </c:pt>
                <c:pt idx="4">
                  <c:v>121</c:v>
                </c:pt>
                <c:pt idx="5">
                  <c:v>112</c:v>
                </c:pt>
                <c:pt idx="6">
                  <c:v>76</c:v>
                </c:pt>
                <c:pt idx="7">
                  <c:v>75</c:v>
                </c:pt>
                <c:pt idx="8">
                  <c:v>88</c:v>
                </c:pt>
                <c:pt idx="9">
                  <c:v>78</c:v>
                </c:pt>
                <c:pt idx="10">
                  <c:v>74</c:v>
                </c:pt>
                <c:pt idx="11">
                  <c:v>70</c:v>
                </c:pt>
                <c:pt idx="12">
                  <c:v>70</c:v>
                </c:pt>
                <c:pt idx="13">
                  <c:v>95</c:v>
                </c:pt>
                <c:pt idx="14">
                  <c:v>112</c:v>
                </c:pt>
                <c:pt idx="15">
                  <c:v>121</c:v>
                </c:pt>
                <c:pt idx="16">
                  <c:v>137</c:v>
                </c:pt>
                <c:pt idx="17">
                  <c:v>121</c:v>
                </c:pt>
                <c:pt idx="18">
                  <c:v>110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53D6-4F85-BBBC-6090AC1B3227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axId val="452394352"/>
        <c:axId val="452397096"/>
      </c:scatterChart>
      <c:valAx>
        <c:axId val="45239435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2397096"/>
        <c:crosses val="autoZero"/>
        <c:crossBetween val="midCat"/>
      </c:valAx>
      <c:valAx>
        <c:axId val="4523970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hu-HU"/>
                  <a:t>bölcsődébe</a:t>
                </a:r>
                <a:r>
                  <a:rPr lang="hu-HU" baseline="0"/>
                  <a:t> jelentkezők száma</a:t>
                </a:r>
                <a:endParaRPr lang="hu-H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hu-H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239435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 b="1"/>
              <a:t>Bölcsődei, 4x </a:t>
            </a:r>
            <a:r>
              <a:rPr lang="en-US" b="1"/>
              <a:t>étkeztetésben</a:t>
            </a:r>
            <a:r>
              <a:rPr lang="hu-HU" b="1"/>
              <a:t> részesülők</a:t>
            </a:r>
            <a:r>
              <a:rPr lang="en-US" b="1"/>
              <a:t>
 </a:t>
            </a:r>
            <a:r>
              <a:rPr lang="hu-HU" b="1"/>
              <a:t>adagszáma</a:t>
            </a:r>
            <a:r>
              <a:rPr lang="en-US" b="1"/>
              <a:t> összesen</a:t>
            </a:r>
            <a:r>
              <a:rPr lang="hu-HU" b="1"/>
              <a:t> 2016-2025-ig</a:t>
            </a:r>
          </a:p>
        </c:rich>
      </c:tx>
      <c:layout>
        <c:manualLayout>
          <c:xMode val="edge"/>
          <c:yMode val="edge"/>
          <c:x val="0.31295742577632341"/>
          <c:y val="4.400440044004400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plotArea>
      <c:layout>
        <c:manualLayout>
          <c:layoutTarget val="inner"/>
          <c:xMode val="edge"/>
          <c:yMode val="edge"/>
          <c:x val="0.10364359000579473"/>
          <c:y val="0.21201320132013202"/>
          <c:w val="0.8790403926781879"/>
          <c:h val="0.65950157220446459"/>
        </c:manualLayout>
      </c:layout>
      <c:lineChart>
        <c:grouping val="stacked"/>
        <c:varyColors val="0"/>
        <c:ser>
          <c:idx val="1"/>
          <c:order val="0"/>
          <c:spPr>
            <a:ln w="28575" cap="rnd">
              <a:solidFill>
                <a:srgbClr val="C00000"/>
              </a:solidFill>
              <a:round/>
            </a:ln>
            <a:effectLst/>
          </c:spPr>
          <c:marker>
            <c:symbol val="circle"/>
            <c:size val="9"/>
            <c:spPr>
              <a:solidFill>
                <a:srgbClr val="FDBBC1"/>
              </a:solidFill>
              <a:ln w="9525">
                <a:solidFill>
                  <a:srgbClr val="C00000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6.4340457442819646E-2"/>
                  <c:y val="7.04070407040704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 xmlns:c15="http://schemas.microsoft.com/office/drawing/2012/chart">
                <c:ext xmlns:c16="http://schemas.microsoft.com/office/drawing/2014/chart" uri="{C3380CC4-5D6E-409C-BE32-E72D297353CC}">
                  <c16:uniqueId val="{00000000-BAF5-438F-B192-0D38F6D7FD95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473153088228285E-2"/>
                  <c:y val="7.48074807480748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 xmlns:c15="http://schemas.microsoft.com/office/drawing/2012/chart">
                <c:ext xmlns:c16="http://schemas.microsoft.com/office/drawing/2014/chart" uri="{C3380CC4-5D6E-409C-BE32-E72D297353CC}">
                  <c16:uniqueId val="{00000001-BAF5-438F-B192-0D38F6D7FD95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9242148878983767E-2"/>
                  <c:y val="9.68096809680968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 xmlns:c15="http://schemas.microsoft.com/office/drawing/2012/chart">
                <c:ext xmlns:c16="http://schemas.microsoft.com/office/drawing/2014/chart" uri="{C3380CC4-5D6E-409C-BE32-E72D297353CC}">
                  <c16:uniqueId val="{00000002-BAF5-438F-B192-0D38F6D7FD95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278372021679108E-2"/>
                  <c:y val="7.48074807480748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 xmlns:c15="http://schemas.microsoft.com/office/drawing/2012/chart">
                <c:ext xmlns:c16="http://schemas.microsoft.com/office/drawing/2014/chart" uri="{C3380CC4-5D6E-409C-BE32-E72D297353CC}">
                  <c16:uniqueId val="{00000003-BAF5-438F-B192-0D38F6D7FD95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4848484848484846E-2"/>
                  <c:y val="6.16061606160615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BAF5-438F-B192-0D38F6D7FD95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2.2795698924731288E-2"/>
                  <c:y val="7.04070407040704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BAF5-438F-B192-0D38F6D7FD95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8.4848484848484857E-3"/>
                  <c:y val="8.36083608360836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BAF5-438F-B192-0D38F6D7FD95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6.2242219722534681E-3"/>
                  <c:y val="7.648200284715839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hu-H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BAF5-438F-B192-0D38F6D7FD95}"/>
                </c:ext>
                <c:ext xmlns:c15="http://schemas.microsoft.com/office/drawing/2012/chart" uri="{CE6537A1-D6FC-4f65-9D91-7224C49458BB}">
                  <c15:layout>
                    <c:manualLayout>
                      <c:w val="7.7037037037037043E-2"/>
                      <c:h val="9.1990652220097724E-2"/>
                    </c:manualLayout>
                  </c15:layout>
                </c:ext>
              </c:extLst>
            </c:dLbl>
            <c:dLbl>
              <c:idx val="8"/>
              <c:layout>
                <c:manualLayout>
                  <c:x val="-1.5425188253584828E-2"/>
                  <c:y val="7.14444937461456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BAF5-438F-B192-0D38F6D7FD95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2.6038291590579722E-2"/>
                  <c:y val="5.71303010327400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BAF5-438F-B192-0D38F6D7FD95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 xmlns:c15="http://schemas.microsoft.com/office/drawing/2012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'Bölcsőde 2016-tól'!$AE$2:$AN$2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'Bölcsőde 2016-tól'!$AE$15:$AN$15</c:f>
              <c:numCache>
                <c:formatCode>General</c:formatCode>
                <c:ptCount val="10"/>
                <c:pt idx="0">
                  <c:v>12983</c:v>
                </c:pt>
                <c:pt idx="1">
                  <c:v>13247</c:v>
                </c:pt>
                <c:pt idx="2">
                  <c:v>13442</c:v>
                </c:pt>
                <c:pt idx="3">
                  <c:v>12590</c:v>
                </c:pt>
                <c:pt idx="4">
                  <c:v>10372</c:v>
                </c:pt>
                <c:pt idx="5">
                  <c:v>10651</c:v>
                </c:pt>
                <c:pt idx="6">
                  <c:v>11766</c:v>
                </c:pt>
                <c:pt idx="7">
                  <c:v>13541</c:v>
                </c:pt>
                <c:pt idx="8">
                  <c:v>17267</c:v>
                </c:pt>
                <c:pt idx="9">
                  <c:v>18233</c:v>
                </c:pt>
              </c:numCache>
            </c:numRef>
          </c:val>
          <c:smooth val="0"/>
          <c:extLst xmlns:c16r2="http://schemas.microsoft.com/office/drawing/2015/06/chart" xmlns:c15="http://schemas.microsoft.com/office/drawing/2012/chart">
            <c:ext xmlns:c16="http://schemas.microsoft.com/office/drawing/2014/chart" uri="{C3380CC4-5D6E-409C-BE32-E72D297353CC}">
              <c16:uniqueId val="{0000000A-BAF5-438F-B192-0D38F6D7FD95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579967208"/>
        <c:axId val="579972696"/>
        <c:extLst xmlns:c16r2="http://schemas.microsoft.com/office/drawing/2015/06/chart"/>
      </c:lineChart>
      <c:catAx>
        <c:axId val="5799672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579972696"/>
        <c:crosses val="autoZero"/>
        <c:auto val="1"/>
        <c:lblAlgn val="ctr"/>
        <c:lblOffset val="100"/>
        <c:noMultiLvlLbl val="0"/>
      </c:catAx>
      <c:valAx>
        <c:axId val="5799726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6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hu-HU"/>
                  <a:t>Adag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hu-H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57996720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gradFill>
      <a:gsLst>
        <a:gs pos="0">
          <a:schemeClr val="accent3">
            <a:lumMod val="5000"/>
            <a:lumOff val="95000"/>
          </a:schemeClr>
        </a:gs>
        <a:gs pos="74000">
          <a:schemeClr val="accent3">
            <a:lumMod val="45000"/>
            <a:lumOff val="55000"/>
          </a:schemeClr>
        </a:gs>
        <a:gs pos="83000">
          <a:schemeClr val="accent3">
            <a:lumMod val="45000"/>
            <a:lumOff val="55000"/>
          </a:schemeClr>
        </a:gs>
        <a:gs pos="100000">
          <a:schemeClr val="accent3">
            <a:lumMod val="30000"/>
            <a:lumOff val="70000"/>
          </a:schemeClr>
        </a:gs>
      </a:gsLst>
      <a:lin ang="5400000" scaled="1"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  <c:userShapes r:id="rId4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 b="1"/>
              <a:t>Bölcsődei adagszámok (2025)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0035051686993657E-2"/>
          <c:y val="0.1589444714262587"/>
          <c:w val="0.89684688672618962"/>
          <c:h val="0.48584652998996786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'Bölcsőde 2025'!$B$2</c:f>
              <c:strCache>
                <c:ptCount val="1"/>
                <c:pt idx="0">
                  <c:v>100 %-os normatív kedvezményben részesülők adagszáma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>
              <a:outerShdw blurRad="152400" dist="12700" dir="6960000" sx="94000" sy="94000" kx="800400" algn="br" rotWithShape="0">
                <a:schemeClr val="accent2">
                  <a:lumMod val="60000"/>
                  <a:lumOff val="40000"/>
                  <a:alpha val="38000"/>
                </a:schemeClr>
              </a:outerShdw>
            </a:effectLst>
            <a:sp3d/>
          </c:spPr>
          <c:invertIfNegative val="0"/>
          <c:dLbls>
            <c:dLbl>
              <c:idx val="1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rgbClr val="FDBBC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hu-H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0B16-4C1D-AC50-AE83543B4D84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rgbClr val="FDBBC1"/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'Bölcsőde 2025'!$A$3:$A$14</c:f>
              <c:strCache>
                <c:ptCount val="12"/>
                <c:pt idx="0">
                  <c:v>január</c:v>
                </c:pt>
                <c:pt idx="1">
                  <c:v>február</c:v>
                </c:pt>
                <c:pt idx="2">
                  <c:v>március</c:v>
                </c:pt>
                <c:pt idx="3">
                  <c:v>április</c:v>
                </c:pt>
                <c:pt idx="4">
                  <c:v>május</c:v>
                </c:pt>
                <c:pt idx="5">
                  <c:v>június</c:v>
                </c:pt>
                <c:pt idx="6">
                  <c:v>július</c:v>
                </c:pt>
                <c:pt idx="7">
                  <c:v>augusztus</c:v>
                </c:pt>
                <c:pt idx="8">
                  <c:v>szeptember</c:v>
                </c:pt>
                <c:pt idx="9">
                  <c:v>október</c:v>
                </c:pt>
                <c:pt idx="10">
                  <c:v>november</c:v>
                </c:pt>
                <c:pt idx="11">
                  <c:v>december</c:v>
                </c:pt>
              </c:strCache>
            </c:strRef>
          </c:cat>
          <c:val>
            <c:numRef>
              <c:f>'Bölcsőde 2025'!$B$3:$B$14</c:f>
              <c:numCache>
                <c:formatCode>General</c:formatCode>
                <c:ptCount val="12"/>
                <c:pt idx="0">
                  <c:v>1381</c:v>
                </c:pt>
                <c:pt idx="1">
                  <c:v>1326</c:v>
                </c:pt>
                <c:pt idx="2">
                  <c:v>1515</c:v>
                </c:pt>
                <c:pt idx="3">
                  <c:v>1353</c:v>
                </c:pt>
                <c:pt idx="4" formatCode="0">
                  <c:v>1683</c:v>
                </c:pt>
                <c:pt idx="5" formatCode="0">
                  <c:v>1680</c:v>
                </c:pt>
                <c:pt idx="6" formatCode="0">
                  <c:v>1134</c:v>
                </c:pt>
                <c:pt idx="7" formatCode="0">
                  <c:v>413</c:v>
                </c:pt>
                <c:pt idx="8" formatCode="0">
                  <c:v>915</c:v>
                </c:pt>
                <c:pt idx="9" formatCode="0">
                  <c:v>985</c:v>
                </c:pt>
                <c:pt idx="10" formatCode="0">
                  <c:v>1129</c:v>
                </c:pt>
                <c:pt idx="11" formatCode="0">
                  <c:v>838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0B16-4C1D-AC50-AE83543B4D84}"/>
            </c:ext>
          </c:extLst>
        </c:ser>
        <c:ser>
          <c:idx val="1"/>
          <c:order val="1"/>
          <c:tx>
            <c:strRef>
              <c:f>'Bölcsőde 2025'!$D$2</c:f>
              <c:strCache>
                <c:ptCount val="1"/>
                <c:pt idx="0">
                  <c:v>Normatív kedvezményben nem részesülők adagszáma</c:v>
                </c:pt>
              </c:strCache>
            </c:strRef>
          </c:tx>
          <c:spPr>
            <a:solidFill>
              <a:srgbClr val="FDBBC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5.0890578444220255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0B16-4C1D-AC50-AE83543B4D84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8.4817630740367089E-3"/>
                  <c:y val="-6.1417492621603984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0B16-4C1D-AC50-AE83543B4D84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5.0890578444220255E-3"/>
                  <c:y val="-3.0708746310801992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0B16-4C1D-AC50-AE83543B4D84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5.0890578444220255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0B16-4C1D-AC50-AE83543B4D84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5.089057844421963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0B16-4C1D-AC50-AE83543B4D84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5.089057844421963E-3"/>
                  <c:y val="-3.0708746310801992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0B16-4C1D-AC50-AE83543B4D84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5.0890578444220255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0B16-4C1D-AC50-AE83543B4D84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3.3927052296146834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0B16-4C1D-AC50-AE83543B4D84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5.0890578444220255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0B16-4C1D-AC50-AE83543B4D84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3.3927052296146834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0B16-4C1D-AC50-AE83543B4D84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8.4817630740367089E-3"/>
                  <c:y val="-3.350083752093802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0B16-4C1D-AC50-AE83543B4D84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5.0890578444220255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0B16-4C1D-AC50-AE83543B4D84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rgbClr val="C00000"/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'Bölcsőde 2025'!$A$3:$A$14</c:f>
              <c:strCache>
                <c:ptCount val="12"/>
                <c:pt idx="0">
                  <c:v>január</c:v>
                </c:pt>
                <c:pt idx="1">
                  <c:v>február</c:v>
                </c:pt>
                <c:pt idx="2">
                  <c:v>március</c:v>
                </c:pt>
                <c:pt idx="3">
                  <c:v>április</c:v>
                </c:pt>
                <c:pt idx="4">
                  <c:v>május</c:v>
                </c:pt>
                <c:pt idx="5">
                  <c:v>június</c:v>
                </c:pt>
                <c:pt idx="6">
                  <c:v>július</c:v>
                </c:pt>
                <c:pt idx="7">
                  <c:v>augusztus</c:v>
                </c:pt>
                <c:pt idx="8">
                  <c:v>szeptember</c:v>
                </c:pt>
                <c:pt idx="9">
                  <c:v>október</c:v>
                </c:pt>
                <c:pt idx="10">
                  <c:v>november</c:v>
                </c:pt>
                <c:pt idx="11">
                  <c:v>december</c:v>
                </c:pt>
              </c:strCache>
            </c:strRef>
          </c:cat>
          <c:val>
            <c:numRef>
              <c:f>'Bölcsőde 2025'!$D$3:$D$14</c:f>
              <c:numCache>
                <c:formatCode>General</c:formatCode>
                <c:ptCount val="12"/>
                <c:pt idx="0">
                  <c:v>307</c:v>
                </c:pt>
                <c:pt idx="1">
                  <c:v>320</c:v>
                </c:pt>
                <c:pt idx="2">
                  <c:v>323</c:v>
                </c:pt>
                <c:pt idx="3">
                  <c:v>273</c:v>
                </c:pt>
                <c:pt idx="4" formatCode="0">
                  <c:v>320</c:v>
                </c:pt>
                <c:pt idx="5" formatCode="0">
                  <c:v>330</c:v>
                </c:pt>
                <c:pt idx="6" formatCode="0">
                  <c:v>245</c:v>
                </c:pt>
                <c:pt idx="7" formatCode="0">
                  <c:v>117</c:v>
                </c:pt>
                <c:pt idx="8" formatCode="0">
                  <c:v>344</c:v>
                </c:pt>
                <c:pt idx="9" formatCode="0">
                  <c:v>438</c:v>
                </c:pt>
                <c:pt idx="10" formatCode="0">
                  <c:v>502</c:v>
                </c:pt>
                <c:pt idx="11" formatCode="0">
                  <c:v>362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E-0B16-4C1D-AC50-AE83543B4D84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51"/>
        <c:gapDepth val="72"/>
        <c:shape val="cylinder"/>
        <c:axId val="579967600"/>
        <c:axId val="579968776"/>
        <c:axId val="0"/>
        <c:extLst xmlns:c16r2="http://schemas.microsoft.com/office/drawing/2015/06/chart"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 xmlns:c16r2="http://schemas.microsoft.com/office/drawing/2015/06/chart">
                      <c:ext uri="{02D57815-91ED-43cb-92C2-25804820EDAC}">
                        <c15:formulaRef>
                          <c15:sqref>'Bölcsőde 2025'!$C$2</c15:sqref>
                        </c15:formulaRef>
                      </c:ext>
                    </c:extLst>
                    <c:strCache>
                      <c:ptCount val="1"/>
                      <c:pt idx="0">
                        <c:v>100 % normatív kedvezményben részesülők, csak ebédet igénylők adagszáma (diétás)</c:v>
                      </c:pt>
                    </c:strCache>
                  </c:strRef>
                </c:tx>
                <c:spPr>
                  <a:solidFill>
                    <a:schemeClr val="accent2">
                      <a:tint val="65000"/>
                    </a:schemeClr>
                  </a:solidFill>
                  <a:ln>
                    <a:noFill/>
                  </a:ln>
                  <a:effectLst/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hu-H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6r2="http://schemas.microsoft.com/office/drawing/2015/06/chart"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val>
                  <c:numRef>
                    <c:extLst xmlns:c16r2="http://schemas.microsoft.com/office/drawing/2015/06/chart">
                      <c:ext uri="{02D57815-91ED-43cb-92C2-25804820EDAC}">
                        <c15:formulaRef>
                          <c15:sqref>'Bölcsőde 2025'!$C$3:$C$14</c15:sqref>
                        </c15:formulaRef>
                      </c:ext>
                    </c:extLst>
                    <c:numCache>
                      <c:formatCode>General</c:formatCode>
                      <c:ptCount val="12"/>
                      <c:pt idx="0">
                        <c:v>0</c:v>
                      </c:pt>
                      <c:pt idx="4">
                        <c:v>0</c:v>
                      </c:pt>
                    </c:numCache>
                  </c:numRef>
                </c:val>
                <c:extLst xmlns:c16r2="http://schemas.microsoft.com/office/drawing/2015/06/chart">
                  <c:ext xmlns:c16="http://schemas.microsoft.com/office/drawing/2014/chart" uri="{C3380CC4-5D6E-409C-BE32-E72D297353CC}">
                    <c16:uniqueId val="{0000000F-0B16-4C1D-AC50-AE83543B4D84}"/>
                  </c:ext>
                </c:extLst>
              </c15:ser>
            </c15:filteredBarSeries>
          </c:ext>
        </c:extLst>
      </c:bar3DChart>
      <c:catAx>
        <c:axId val="579967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579968776"/>
        <c:crosses val="autoZero"/>
        <c:auto val="1"/>
        <c:lblAlgn val="ctr"/>
        <c:lblOffset val="100"/>
        <c:noMultiLvlLbl val="0"/>
      </c:catAx>
      <c:valAx>
        <c:axId val="5799687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hu-HU"/>
                  <a:t>Adagszám</a:t>
                </a:r>
              </a:p>
            </c:rich>
          </c:tx>
          <c:layout>
            <c:manualLayout>
              <c:xMode val="edge"/>
              <c:yMode val="edge"/>
              <c:x val="9.7272608594082786E-3"/>
              <c:y val="0.33474761935749769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5799676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3885294941763715"/>
          <c:y val="0.83685605350812464"/>
          <c:w val="0.63453123795966138"/>
          <c:h val="0.1437170402266982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gradFill>
      <a:gsLst>
        <a:gs pos="0">
          <a:schemeClr val="accent3">
            <a:lumMod val="5000"/>
            <a:lumOff val="95000"/>
          </a:schemeClr>
        </a:gs>
        <a:gs pos="74000">
          <a:schemeClr val="accent3">
            <a:lumMod val="45000"/>
            <a:lumOff val="55000"/>
          </a:schemeClr>
        </a:gs>
        <a:gs pos="99000">
          <a:schemeClr val="bg1">
            <a:lumMod val="75000"/>
          </a:schemeClr>
        </a:gs>
      </a:gsLst>
      <a:lin ang="5400000" scaled="1"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 sz="1200" b="1"/>
              <a:t>Bölcsődei étkezés megoszlása térítési díjkedvezmény szerint</a:t>
            </a:r>
          </a:p>
          <a:p>
            <a:pPr>
              <a:defRPr sz="1200"/>
            </a:pPr>
            <a:r>
              <a:rPr lang="hu-HU" sz="1200" b="1"/>
              <a:t>2025</a:t>
            </a:r>
          </a:p>
        </c:rich>
      </c:tx>
      <c:layout>
        <c:manualLayout>
          <c:xMode val="edge"/>
          <c:yMode val="edge"/>
          <c:x val="0.18878430733041252"/>
          <c:y val="2.74681521789796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3.4164563608703395E-2"/>
          <c:y val="0.13671990318331467"/>
          <c:w val="0.93888888888888888"/>
          <c:h val="0.6714577865266842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rgbClr val="C0000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0C95-4F25-8E19-A21E6560439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0C95-4F25-8E19-A21E6560439B}"/>
              </c:ext>
            </c:extLst>
          </c:dPt>
          <c:dPt>
            <c:idx val="2"/>
            <c:bubble3D val="0"/>
            <c:spPr>
              <a:solidFill>
                <a:srgbClr val="FEB4AC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0C95-4F25-8E19-A21E6560439B}"/>
              </c:ext>
            </c:extLst>
          </c:dPt>
          <c:dLbls>
            <c:dLbl>
              <c:idx val="0"/>
              <c:layout>
                <c:manualLayout>
                  <c:x val="-0.27662075956537591"/>
                  <c:y val="-0.27149590902397819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100" b="0" i="0" u="none" strike="noStrike" kern="1200" baseline="0">
                        <a:solidFill>
                          <a:schemeClr val="bg1">
                            <a:lumMod val="9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2B22EBB5-1305-42A4-AE9B-275E5343C192}" type="VALUE">
                      <a:rPr lang="en-US" sz="1100" b="1"/>
                      <a:pPr>
                        <a:defRPr sz="1100">
                          <a:solidFill>
                            <a:schemeClr val="bg1">
                              <a:lumMod val="95000"/>
                            </a:schemeClr>
                          </a:solidFill>
                        </a:defRPr>
                      </a:pPr>
                      <a:t>[ÉRTÉK]</a:t>
                    </a:fld>
                    <a:r>
                      <a:rPr lang="en-US" sz="1100" b="1"/>
                      <a:t>;</a:t>
                    </a:r>
                    <a:r>
                      <a:rPr lang="en-US" sz="1100" b="1" baseline="0"/>
                      <a:t> </a:t>
                    </a:r>
                  </a:p>
                  <a:p>
                    <a:pPr>
                      <a:defRPr sz="1100">
                        <a:solidFill>
                          <a:schemeClr val="bg1">
                            <a:lumMod val="95000"/>
                          </a:schemeClr>
                        </a:solidFill>
                      </a:defRPr>
                    </a:pPr>
                    <a:fld id="{1D77CB6C-E096-4ABA-8CF8-00646CB0B5EE}" type="PERCENTAGE">
                      <a:rPr lang="en-US" sz="1100" b="1" baseline="0"/>
                      <a:pPr>
                        <a:defRPr sz="1100">
                          <a:solidFill>
                            <a:schemeClr val="bg1">
                              <a:lumMod val="95000"/>
                            </a:schemeClr>
                          </a:solidFill>
                        </a:defRPr>
                      </a:pPr>
                      <a:t>[SZÁZALÉK]</a:t>
                    </a:fld>
                    <a:endParaRPr lang="hu-HU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100" b="0" i="0" u="none" strike="noStrike" kern="1200" baseline="0">
                      <a:solidFill>
                        <a:schemeClr val="bg1">
                          <a:lumMod val="9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hu-HU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0C95-4F25-8E19-A21E6560439B}"/>
                </c:ext>
                <c:ext xmlns:c15="http://schemas.microsoft.com/office/drawing/2012/chart" uri="{CE6537A1-D6FC-4f65-9D91-7224C49458BB}">
                  <c15:layout>
                    <c:manualLayout>
                      <c:w val="0.14934587821585482"/>
                      <c:h val="0.22304949664429527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8.4436257342566431E-3"/>
                  <c:y val="-0.1749992231186091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lang="en-US" sz="1100" b="1" i="0" u="none" strike="noStrike" kern="1200" baseline="0">
                        <a:solidFill>
                          <a:srgbClr val="C00000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D4E360F4-2D2A-4908-B407-4C6996B8359E}" type="PERCENTAGE">
                      <a:rPr lang="en-US" sz="1100" baseline="0"/>
                      <a:pPr>
                        <a:defRPr lang="en-US" sz="1100" b="1">
                          <a:solidFill>
                            <a:srgbClr val="C00000"/>
                          </a:solidFill>
                        </a:defRPr>
                      </a:pPr>
                      <a:t>[SZÁZALÉK]</a:t>
                    </a:fld>
                    <a:endParaRPr lang="hu-HU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lang="en-US" sz="1100" b="1" i="0" u="none" strike="noStrike" kern="1200" baseline="0">
                      <a:solidFill>
                        <a:srgbClr val="C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hu-HU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0C95-4F25-8E19-A21E6560439B}"/>
                </c:ext>
                <c:ext xmlns:c15="http://schemas.microsoft.com/office/drawing/2012/chart" uri="{CE6537A1-D6FC-4f65-9D91-7224C49458BB}">
                  <c15:layout>
                    <c:manualLayout>
                      <c:w val="7.7002421288208694E-2"/>
                      <c:h val="0.18632421159486845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0.20978152617483356"/>
                  <c:y val="7.1359341336391935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100" b="0" i="0" u="none" strike="noStrike" kern="1200" baseline="0">
                        <a:solidFill>
                          <a:srgbClr val="C00000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D76D7FB8-632B-4E1D-9F5B-8FB6C75B4387}" type="VALUE">
                      <a:rPr lang="en-US" sz="1100" b="1"/>
                      <a:pPr>
                        <a:defRPr sz="1100">
                          <a:solidFill>
                            <a:srgbClr val="C00000"/>
                          </a:solidFill>
                        </a:defRPr>
                      </a:pPr>
                      <a:t>[ÉRTÉK]</a:t>
                    </a:fld>
                    <a:r>
                      <a:rPr lang="en-US" sz="1100" b="1" baseline="0"/>
                      <a:t>; </a:t>
                    </a:r>
                    <a:fld id="{82EFCE10-AC9A-4408-8558-A2787134DAF5}" type="PERCENTAGE">
                      <a:rPr lang="en-US" sz="1100" b="1" baseline="0"/>
                      <a:pPr>
                        <a:defRPr sz="1100">
                          <a:solidFill>
                            <a:srgbClr val="C00000"/>
                          </a:solidFill>
                        </a:defRPr>
                      </a:pPr>
                      <a:t>[SZÁZALÉK]</a:t>
                    </a:fld>
                    <a:endParaRPr lang="en-US" sz="1100" b="1" baseline="0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100" b="0" i="0" u="none" strike="noStrike" kern="1200" baseline="0">
                      <a:solidFill>
                        <a:srgbClr val="C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hu-HU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0C95-4F25-8E19-A21E6560439B}"/>
                </c:ext>
                <c:ext xmlns:c15="http://schemas.microsoft.com/office/drawing/2012/chart" uri="{CE6537A1-D6FC-4f65-9D91-7224C49458BB}">
                  <c15:layout>
                    <c:manualLayout>
                      <c:w val="0.12049640852977626"/>
                      <c:h val="0.15063447424709767"/>
                    </c:manualLayout>
                  </c15:layout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ctr"/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'Bölcsőde 2025'!$B$2:$D$2</c:f>
              <c:strCache>
                <c:ptCount val="3"/>
                <c:pt idx="0">
                  <c:v>100 %-os normatív kedvezményben részesülők adagszáma</c:v>
                </c:pt>
                <c:pt idx="1">
                  <c:v>100 % normatív kedvezményben részesülők, csak ebédet igénylők adagszáma (diétás)</c:v>
                </c:pt>
                <c:pt idx="2">
                  <c:v>Normatív kedvezményben nem részesülők adagszáma</c:v>
                </c:pt>
              </c:strCache>
            </c:strRef>
          </c:cat>
          <c:val>
            <c:numRef>
              <c:f>'Bölcsőde 2025'!$B$15:$D$15</c:f>
              <c:numCache>
                <c:formatCode>General</c:formatCode>
                <c:ptCount val="3"/>
                <c:pt idx="0">
                  <c:v>14352</c:v>
                </c:pt>
                <c:pt idx="1">
                  <c:v>0</c:v>
                </c:pt>
                <c:pt idx="2">
                  <c:v>3881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0C95-4F25-8E19-A21E6560439B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 rtl="0">
              <a:defRPr sz="900" b="1" i="0" u="none" strike="noStrike" kern="1200" baseline="0">
                <a:solidFill>
                  <a:schemeClr val="bg1"/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 rtl="0">
              <a:defRPr sz="900" b="1" i="0" u="none" strike="noStrike" kern="1200" baseline="0">
                <a:solidFill>
                  <a:schemeClr val="bg1"/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 rtl="0">
              <a:defRPr sz="900" b="1" i="0" u="none" strike="noStrike" kern="1200" baseline="0">
                <a:solidFill>
                  <a:schemeClr val="bg1"/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</c:legendEntry>
      <c:layout>
        <c:manualLayout>
          <c:xMode val="edge"/>
          <c:yMode val="edge"/>
          <c:x val="5.1761303945329157E-2"/>
          <c:y val="0.81684568028050597"/>
          <c:w val="0.89999993065595996"/>
          <c:h val="0.1818096675120287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rtl="0">
            <a:defRPr sz="900" b="1" i="0" u="none" strike="noStrike" kern="1200" baseline="0">
              <a:solidFill>
                <a:schemeClr val="bg1"/>
              </a:solidFill>
              <a:latin typeface="+mn-lt"/>
              <a:ea typeface="+mn-ea"/>
              <a:cs typeface="+mn-cs"/>
            </a:defRPr>
          </a:pPr>
          <a:endParaRPr lang="hu-H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gradFill flip="none" rotWithShape="1">
      <a:gsLst>
        <a:gs pos="0">
          <a:schemeClr val="bg1">
            <a:lumMod val="50000"/>
          </a:schemeClr>
        </a:gs>
        <a:gs pos="50000">
          <a:schemeClr val="bg1">
            <a:lumMod val="75000"/>
          </a:schemeClr>
        </a:gs>
        <a:gs pos="100000">
          <a:schemeClr val="bg1">
            <a:lumMod val="95000"/>
          </a:schemeClr>
        </a:gs>
      </a:gsLst>
      <a:lin ang="16200000" scaled="1"/>
      <a:tileRect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  <c:userShapes r:id="rId4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3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 sz="1300" b="1"/>
              <a:t>Óvodai adagszámok alakulása</a:t>
            </a:r>
          </a:p>
          <a:p>
            <a:pPr>
              <a:defRPr sz="1300" b="1"/>
            </a:pPr>
            <a:r>
              <a:rPr lang="hu-HU" sz="1300" b="1"/>
              <a:t>2017-2025-ig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3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plotArea>
      <c:layout/>
      <c:lineChart>
        <c:grouping val="standard"/>
        <c:varyColors val="0"/>
        <c:ser>
          <c:idx val="1"/>
          <c:order val="0"/>
          <c:tx>
            <c:strRef>
              <c:f>'Óvoda 2017-től'!$E$2</c:f>
              <c:strCache>
                <c:ptCount val="1"/>
                <c:pt idx="0">
                  <c:v>Összesen</c:v>
                </c:pt>
              </c:strCache>
            </c:strRef>
          </c:tx>
          <c:spPr>
            <a:ln w="34925" cap="rnd" cmpd="sng">
              <a:solidFill>
                <a:schemeClr val="accent6">
                  <a:lumMod val="75000"/>
                </a:schemeClr>
              </a:solidFill>
              <a:round/>
            </a:ln>
            <a:effectLst/>
          </c:spPr>
          <c:marker>
            <c:symbol val="circle"/>
            <c:size val="9"/>
            <c:spPr>
              <a:solidFill>
                <a:srgbClr val="FFC000"/>
              </a:solidFill>
              <a:ln w="9525">
                <a:solidFill>
                  <a:srgbClr val="00B050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8.2009419152276317E-2"/>
                  <c:y val="5.06557253585431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BC99-4E26-B8A5-29FA4F5FBE0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0612244897959187E-2"/>
                  <c:y val="8.59174272284892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BC99-4E26-B8A5-29FA4F5FBE0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8984824699110414E-2"/>
                  <c:y val="9.47328526959756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BC99-4E26-B8A5-29FA4F5FBE0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1653584510727371E-2"/>
                  <c:y val="8.59174272284892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BC99-4E26-B8A5-29FA4F5FBE0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1.8628990057561485E-2"/>
                  <c:y val="6.38788635597729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BC99-4E26-B8A5-29FA4F5FBE0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'Óvoda 2017-től'!$A$3:$A$11</c:f>
              <c:numCache>
                <c:formatCode>General</c:formatCode>
                <c:ptCount val="9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  <c:pt idx="5">
                  <c:v>2022</c:v>
                </c:pt>
                <c:pt idx="6">
                  <c:v>2023</c:v>
                </c:pt>
                <c:pt idx="7">
                  <c:v>2024</c:v>
                </c:pt>
                <c:pt idx="8">
                  <c:v>2025</c:v>
                </c:pt>
              </c:numCache>
            </c:numRef>
          </c:cat>
          <c:val>
            <c:numRef>
              <c:f>'Óvoda 2017-től'!$E$3:$E$11</c:f>
              <c:numCache>
                <c:formatCode>General</c:formatCode>
                <c:ptCount val="9"/>
                <c:pt idx="0">
                  <c:v>114602</c:v>
                </c:pt>
                <c:pt idx="1">
                  <c:v>108625</c:v>
                </c:pt>
                <c:pt idx="2">
                  <c:v>112656</c:v>
                </c:pt>
                <c:pt idx="3">
                  <c:v>83237</c:v>
                </c:pt>
                <c:pt idx="4">
                  <c:v>83947</c:v>
                </c:pt>
                <c:pt idx="5">
                  <c:v>109812</c:v>
                </c:pt>
                <c:pt idx="6">
                  <c:v>109228</c:v>
                </c:pt>
                <c:pt idx="7">
                  <c:v>104861</c:v>
                </c:pt>
                <c:pt idx="8">
                  <c:v>105190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5-BC99-4E26-B8A5-29FA4F5FBE09}"/>
            </c:ext>
          </c:extLst>
        </c:ser>
        <c:dLbls>
          <c:dLblPos val="b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53545392"/>
        <c:axId val="453541864"/>
      </c:lineChart>
      <c:catAx>
        <c:axId val="453545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3541864"/>
        <c:crosses val="autoZero"/>
        <c:auto val="1"/>
        <c:lblAlgn val="ctr"/>
        <c:lblOffset val="100"/>
        <c:noMultiLvlLbl val="0"/>
      </c:catAx>
      <c:valAx>
        <c:axId val="4535418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2">
                  <a:alpha val="69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hu-HU"/>
                  <a:t>Adagszám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hu-H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354539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gradFill flip="none" rotWithShape="1">
      <a:gsLst>
        <a:gs pos="0">
          <a:schemeClr val="accent4">
            <a:lumMod val="5000"/>
            <a:lumOff val="95000"/>
          </a:schemeClr>
        </a:gs>
        <a:gs pos="74000">
          <a:schemeClr val="accent4">
            <a:lumMod val="45000"/>
            <a:lumOff val="55000"/>
          </a:schemeClr>
        </a:gs>
        <a:gs pos="83000">
          <a:schemeClr val="accent4">
            <a:lumMod val="45000"/>
            <a:lumOff val="55000"/>
          </a:schemeClr>
        </a:gs>
        <a:gs pos="100000">
          <a:schemeClr val="accent4">
            <a:lumMod val="30000"/>
            <a:lumOff val="70000"/>
          </a:schemeClr>
        </a:gs>
      </a:gsLst>
      <a:lin ang="5400000" scaled="1"/>
      <a:tileRect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  <c:userShapes r:id="rId4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cap="all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 sz="1000"/>
              <a:t>Óvodai adagszámok megoszlása </a:t>
            </a:r>
          </a:p>
          <a:p>
            <a:pPr>
              <a:defRPr sz="1000"/>
            </a:pPr>
            <a:r>
              <a:rPr lang="hu-HU" sz="1000"/>
              <a:t>térítési díjkedvezmény szerint (2025)</a:t>
            </a:r>
          </a:p>
        </c:rich>
      </c:tx>
      <c:layout>
        <c:manualLayout>
          <c:xMode val="edge"/>
          <c:yMode val="edge"/>
          <c:x val="0.24292637838874792"/>
          <c:y val="2.811585902776648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cap="all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3.9867109634551492E-2"/>
          <c:y val="0.14366065226028146"/>
          <c:w val="0.70894376575021145"/>
          <c:h val="0.78994931588644346"/>
        </c:manualLayout>
      </c:layout>
      <c:pie3DChart>
        <c:varyColors val="1"/>
        <c:ser>
          <c:idx val="0"/>
          <c:order val="0"/>
          <c:tx>
            <c:strRef>
              <c:f>'Óvoda 2025'!$B$3:$E$3</c:f>
              <c:strCache>
                <c:ptCount val="4"/>
                <c:pt idx="0">
                  <c:v>100 % kedvezményben részesül (ingyenes) 3x</c:v>
                </c:pt>
                <c:pt idx="1">
                  <c:v>100 % kedvezményben részesül (ingyenes) csak ebéd (diétás)</c:v>
                </c:pt>
                <c:pt idx="2">
                  <c:v>Kedvezményben nem részesül (3x)</c:v>
                </c:pt>
                <c:pt idx="3">
                  <c:v>Kedvezményben nem részesül (csak ebéd, diétás)</c:v>
                </c:pt>
              </c:strCache>
            </c:strRef>
          </c:tx>
          <c:dPt>
            <c:idx val="0"/>
            <c:bubble3D val="0"/>
            <c:spPr>
              <a:solidFill>
                <a:schemeClr val="accent2">
                  <a:alpha val="90000"/>
                </a:schemeClr>
              </a:solidFill>
              <a:ln w="19050">
                <a:solidFill>
                  <a:schemeClr val="accent2">
                    <a:lumMod val="75000"/>
                  </a:schemeClr>
                </a:solidFill>
              </a:ln>
              <a:effectLst>
                <a:innerShdw blurRad="114300">
                  <a:schemeClr val="accent2">
                    <a:lumMod val="75000"/>
                  </a:schemeClr>
                </a:innerShdw>
              </a:effectLst>
              <a:scene3d>
                <a:camera prst="orthographicFront"/>
                <a:lightRig rig="threePt" dir="t"/>
              </a:scene3d>
              <a:sp3d contourW="19050" prstMaterial="flat">
                <a:contourClr>
                  <a:schemeClr val="accent2">
                    <a:lumMod val="75000"/>
                  </a:schemeClr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ED42-4005-9564-0A2B88C16B39}"/>
              </c:ext>
            </c:extLst>
          </c:dPt>
          <c:dPt>
            <c:idx val="1"/>
            <c:bubble3D val="0"/>
            <c:spPr>
              <a:solidFill>
                <a:schemeClr val="accent4">
                  <a:alpha val="90000"/>
                </a:schemeClr>
              </a:solidFill>
              <a:ln w="19050">
                <a:solidFill>
                  <a:schemeClr val="accent4">
                    <a:lumMod val="75000"/>
                  </a:schemeClr>
                </a:solidFill>
              </a:ln>
              <a:effectLst>
                <a:innerShdw blurRad="114300">
                  <a:schemeClr val="accent4">
                    <a:lumMod val="75000"/>
                  </a:schemeClr>
                </a:innerShdw>
              </a:effectLst>
              <a:scene3d>
                <a:camera prst="orthographicFront"/>
                <a:lightRig rig="threePt" dir="t"/>
              </a:scene3d>
              <a:sp3d contourW="19050" prstMaterial="flat">
                <a:contourClr>
                  <a:schemeClr val="accent4">
                    <a:lumMod val="75000"/>
                  </a:schemeClr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ED42-4005-9564-0A2B88C16B39}"/>
              </c:ext>
            </c:extLst>
          </c:dPt>
          <c:dPt>
            <c:idx val="2"/>
            <c:bubble3D val="0"/>
            <c:spPr>
              <a:solidFill>
                <a:schemeClr val="accent6">
                  <a:alpha val="90000"/>
                </a:schemeClr>
              </a:solidFill>
              <a:ln w="19050">
                <a:solidFill>
                  <a:schemeClr val="accent6">
                    <a:lumMod val="75000"/>
                  </a:schemeClr>
                </a:solidFill>
              </a:ln>
              <a:effectLst>
                <a:innerShdw blurRad="114300">
                  <a:schemeClr val="accent6">
                    <a:lumMod val="75000"/>
                  </a:schemeClr>
                </a:innerShdw>
              </a:effectLst>
              <a:scene3d>
                <a:camera prst="orthographicFront"/>
                <a:lightRig rig="threePt" dir="t"/>
              </a:scene3d>
              <a:sp3d contourW="19050" prstMaterial="flat">
                <a:contourClr>
                  <a:schemeClr val="accent6">
                    <a:lumMod val="75000"/>
                  </a:schemeClr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ED42-4005-9564-0A2B88C16B39}"/>
              </c:ext>
            </c:extLst>
          </c:dPt>
          <c:dLbls>
            <c:dLbl>
              <c:idx val="0"/>
              <c:layout>
                <c:manualLayout>
                  <c:x val="-0.10804169827608766"/>
                  <c:y val="-0.28877103366838808"/>
                </c:manualLayout>
              </c:layout>
              <c:tx>
                <c:rich>
                  <a:bodyPr rot="0" spcFirstLastPara="1" vertOverflow="clip" horzOverflow="clip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1" i="0" u="none" strike="noStrike" kern="1200" baseline="0">
                        <a:solidFill>
                          <a:schemeClr val="accent2"/>
                        </a:solidFill>
                        <a:effectLst/>
                        <a:latin typeface="+mn-lt"/>
                        <a:ea typeface="+mn-ea"/>
                        <a:cs typeface="+mn-cs"/>
                      </a:defRPr>
                    </a:pPr>
                    <a:fld id="{99B9121E-4F9E-422E-BBDB-00309B137893}" type="PERCENTAGE">
                      <a:rPr lang="en-US" sz="1200" b="1"/>
                      <a:pPr>
                        <a:defRPr b="1"/>
                      </a:pPr>
                      <a:t>[SZÁZALÉK]</a:t>
                    </a:fld>
                    <a:endParaRPr lang="hu-HU"/>
                  </a:p>
                </c:rich>
              </c:tx>
              <c:spPr>
                <a:solidFill>
                  <a:schemeClr val="lt1">
                    <a:alpha val="90000"/>
                  </a:schemeClr>
                </a:solidFill>
                <a:ln w="12700" cap="flat" cmpd="sng" algn="ctr">
                  <a:solidFill>
                    <a:schemeClr val="accent2"/>
                  </a:solidFill>
                  <a:round/>
                </a:ln>
                <a:effectLst>
                  <a:outerShdw blurRad="50800" dist="38100" dir="2700000" algn="tl" rotWithShape="0">
                    <a:schemeClr val="accent2">
                      <a:lumMod val="75000"/>
                      <a:alpha val="40000"/>
                    </a:schemeClr>
                  </a:outerShdw>
                </a:effectLst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accent2"/>
                      </a:solidFill>
                      <a:effectLst/>
                      <a:latin typeface="+mn-lt"/>
                      <a:ea typeface="+mn-ea"/>
                      <a:cs typeface="+mn-cs"/>
                    </a:defRPr>
                  </a:pPr>
                  <a:endParaRPr lang="hu-HU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ED42-4005-9564-0A2B88C16B39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solidFill>
                      <a:schemeClr val="lt1">
                        <a:alpha val="90000"/>
                      </a:schemeClr>
                    </a:solidFill>
                    <a:ln w="12700" cap="flat" cmpd="sng" algn="ctr">
                      <a:solidFill>
                        <a:schemeClr val="accent2"/>
                      </a:solidFill>
                      <a:round/>
                    </a:ln>
                  </c15:spPr>
                  <c15:layout>
                    <c:manualLayout>
                      <c:w val="6.9196117927119563E-2"/>
                      <c:h val="0.11662494616058422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1.0121031382705068E-2"/>
                  <c:y val="-2.244317219418002E-3"/>
                </c:manualLayout>
              </c:layout>
              <c:tx>
                <c:rich>
                  <a:bodyPr rot="0" spcFirstLastPara="1" vertOverflow="clip" horzOverflow="clip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1" i="0" u="none" strike="noStrike" kern="1200" baseline="0">
                        <a:solidFill>
                          <a:schemeClr val="accent4">
                            <a:lumMod val="75000"/>
                          </a:schemeClr>
                        </a:solidFill>
                        <a:effectLst/>
                        <a:latin typeface="+mn-lt"/>
                        <a:ea typeface="+mn-ea"/>
                        <a:cs typeface="+mn-cs"/>
                      </a:defRPr>
                    </a:pPr>
                    <a:fld id="{823750B9-47F7-41C4-8EA7-EBF83FADEE07}" type="PERCENTAGE">
                      <a:rPr lang="en-US">
                        <a:solidFill>
                          <a:schemeClr val="accent4">
                            <a:lumMod val="75000"/>
                          </a:schemeClr>
                        </a:solidFill>
                      </a:rPr>
                      <a:pPr>
                        <a:defRPr b="1">
                          <a:solidFill>
                            <a:schemeClr val="accent4">
                              <a:lumMod val="75000"/>
                            </a:schemeClr>
                          </a:solidFill>
                        </a:defRPr>
                      </a:pPr>
                      <a:t>[SZÁZALÉK]</a:t>
                    </a:fld>
                    <a:endParaRPr lang="hu-HU"/>
                  </a:p>
                </c:rich>
              </c:tx>
              <c:spPr>
                <a:solidFill>
                  <a:schemeClr val="lt1">
                    <a:alpha val="90000"/>
                  </a:schemeClr>
                </a:solidFill>
                <a:ln w="12700" cap="flat" cmpd="sng" algn="ctr">
                  <a:solidFill>
                    <a:schemeClr val="accent4"/>
                  </a:solidFill>
                  <a:round/>
                </a:ln>
                <a:effectLst>
                  <a:outerShdw blurRad="50800" dist="38100" dir="2700000" algn="tl" rotWithShape="0">
                    <a:schemeClr val="accent4">
                      <a:lumMod val="75000"/>
                      <a:alpha val="40000"/>
                    </a:schemeClr>
                  </a:outerShdw>
                </a:effectLst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accent4">
                          <a:lumMod val="75000"/>
                        </a:schemeClr>
                      </a:solidFill>
                      <a:effectLst/>
                      <a:latin typeface="+mn-lt"/>
                      <a:ea typeface="+mn-ea"/>
                      <a:cs typeface="+mn-cs"/>
                    </a:defRPr>
                  </a:pPr>
                  <a:endParaRPr lang="hu-HU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ED42-4005-9564-0A2B88C16B39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solidFill>
                      <a:schemeClr val="lt1">
                        <a:alpha val="90000"/>
                      </a:schemeClr>
                    </a:solidFill>
                    <a:ln w="12700" cap="flat" cmpd="sng" algn="ctr">
                      <a:solidFill>
                        <a:schemeClr val="accent2"/>
                      </a:solidFill>
                      <a:round/>
                    </a:ln>
                  </c15:spPr>
                  <c15:layout>
                    <c:manualLayout>
                      <c:w val="4.7308970099667766E-2"/>
                      <c:h val="8.1456011382499402E-2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5.7745049310696628E-2"/>
                  <c:y val="0.1184297764635852"/>
                </c:manualLayout>
              </c:layout>
              <c:tx>
                <c:rich>
                  <a:bodyPr rot="0" spcFirstLastPara="1" vertOverflow="clip" horzOverflow="clip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1" i="0" u="none" strike="noStrike" kern="1200" baseline="0">
                        <a:solidFill>
                          <a:schemeClr val="accent6">
                            <a:lumMod val="75000"/>
                          </a:schemeClr>
                        </a:solidFill>
                        <a:effectLst/>
                        <a:latin typeface="+mn-lt"/>
                        <a:ea typeface="+mn-ea"/>
                        <a:cs typeface="+mn-cs"/>
                      </a:defRPr>
                    </a:pPr>
                    <a:fld id="{174FB3B9-BF6A-42BB-9A0B-E2323D9B7A05}" type="PERCENTAGE"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pPr>
                        <a:defRPr b="1">
                          <a:solidFill>
                            <a:schemeClr val="accent6">
                              <a:lumMod val="75000"/>
                            </a:schemeClr>
                          </a:solidFill>
                        </a:defRPr>
                      </a:pPr>
                      <a:t>[SZÁZALÉK]</a:t>
                    </a:fld>
                    <a:endParaRPr lang="hu-HU"/>
                  </a:p>
                </c:rich>
              </c:tx>
              <c:spPr>
                <a:solidFill>
                  <a:schemeClr val="lt1">
                    <a:alpha val="90000"/>
                  </a:schemeClr>
                </a:solidFill>
                <a:ln w="12700" cap="flat" cmpd="sng" algn="ctr">
                  <a:solidFill>
                    <a:schemeClr val="accent6"/>
                  </a:solidFill>
                  <a:round/>
                </a:ln>
                <a:effectLst>
                  <a:outerShdw blurRad="50800" dist="38100" dir="2700000" algn="tl" rotWithShape="0">
                    <a:schemeClr val="accent6">
                      <a:lumMod val="75000"/>
                      <a:alpha val="40000"/>
                    </a:schemeClr>
                  </a:outerShdw>
                </a:effectLst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accent6">
                          <a:lumMod val="75000"/>
                        </a:schemeClr>
                      </a:solidFill>
                      <a:effectLst/>
                      <a:latin typeface="+mn-lt"/>
                      <a:ea typeface="+mn-ea"/>
                      <a:cs typeface="+mn-cs"/>
                    </a:defRPr>
                  </a:pPr>
                  <a:endParaRPr lang="hu-HU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ED42-4005-9564-0A2B88C16B39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solidFill>
                      <a:schemeClr val="lt1">
                        <a:alpha val="90000"/>
                      </a:schemeClr>
                    </a:solidFill>
                    <a:ln w="12700" cap="flat" cmpd="sng" algn="ctr">
                      <a:solidFill>
                        <a:schemeClr val="accent2"/>
                      </a:solidFill>
                      <a:round/>
                    </a:ln>
                  </c15:spPr>
                  <c15:layout>
                    <c:manualLayout>
                      <c:w val="6.0753045404208193E-2"/>
                      <c:h val="7.3773308232470136E-2"/>
                    </c:manualLayout>
                  </c15:layout>
                  <c15:dlblFieldTable/>
                  <c15:showDataLabelsRange val="0"/>
                </c:ext>
              </c:extLst>
            </c:dLbl>
            <c:spPr>
              <a:solidFill>
                <a:sysClr val="window" lastClr="FFFFFF">
                  <a:alpha val="90000"/>
                </a:sysClr>
              </a:solidFill>
              <a:ln w="12700" cap="flat" cmpd="sng" algn="ctr">
                <a:solidFill>
                  <a:srgbClr val="ED7D31"/>
                </a:solidFill>
                <a:round/>
              </a:ln>
              <a:effectLst>
                <a:outerShdw blurRad="50800" dist="38100" dir="2700000" algn="tl" rotWithShape="0">
                  <a:srgbClr val="ED7D31">
                    <a:lumMod val="75000"/>
                    <a:alpha val="40000"/>
                  </a:srgbClr>
                </a:outerShdw>
              </a:effectLst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accent2"/>
                    </a:solidFill>
                    <a:effectLst/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pPr xmlns:c15="http://schemas.microsoft.com/office/drawing/2012/chart">
                  <a:prstGeom prst="rect">
                    <a:avLst/>
                  </a:prstGeom>
                  <a:solidFill>
                    <a:schemeClr val="lt1">
                      <a:alpha val="90000"/>
                    </a:schemeClr>
                  </a:solidFill>
                  <a:ln w="12700" cap="flat" cmpd="sng" algn="ctr">
                    <a:solidFill>
                      <a:schemeClr val="accent2"/>
                    </a:solidFill>
                    <a:round/>
                  </a:ln>
                </c15:spPr>
              </c:ext>
            </c:extLst>
          </c:dLbls>
          <c:cat>
            <c:strRef>
              <c:f>'Óvoda 2025'!$B$3:$D$3</c:f>
              <c:strCache>
                <c:ptCount val="3"/>
                <c:pt idx="0">
                  <c:v>100 % kedvezményben részesül (ingyenes) 3x</c:v>
                </c:pt>
                <c:pt idx="1">
                  <c:v>100 % kedvezményben részesül (ingyenes) csak ebéd (diétás)</c:v>
                </c:pt>
                <c:pt idx="2">
                  <c:v>Kedvezményben nem részesül (3x)</c:v>
                </c:pt>
              </c:strCache>
              <c:extLst xmlns:c16r2="http://schemas.microsoft.com/office/drawing/2015/06/chart"/>
            </c:strRef>
          </c:cat>
          <c:val>
            <c:numRef>
              <c:f>'Óvoda 2025'!$B$16:$D$16</c:f>
              <c:numCache>
                <c:formatCode>_-* #\ ##0_-;\-* #\ ##0_-;_-* "-"??_-;_-@_-</c:formatCode>
                <c:ptCount val="3"/>
                <c:pt idx="0">
                  <c:v>93561</c:v>
                </c:pt>
                <c:pt idx="1">
                  <c:v>1268</c:v>
                </c:pt>
                <c:pt idx="2">
                  <c:v>10361</c:v>
                </c:pt>
              </c:numCache>
              <c:extLst xmlns:c16r2="http://schemas.microsoft.com/office/drawing/2015/06/chart"/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ED42-4005-9564-0A2B88C16B39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  <c:spPr>
        <a:noFill/>
        <a:ln>
          <a:noFill/>
        </a:ln>
        <a:effectLst/>
      </c:spPr>
    </c:plotArea>
    <c:legend>
      <c:legendPos val="r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85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85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85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</c:legendEntry>
      <c:layout>
        <c:manualLayout>
          <c:xMode val="edge"/>
          <c:yMode val="edge"/>
          <c:x val="0.70464558209293593"/>
          <c:y val="0.29446709075743882"/>
          <c:w val="0.2751210749819063"/>
          <c:h val="0.49331569128112424"/>
        </c:manualLayout>
      </c:layout>
      <c:overlay val="0"/>
      <c:spPr>
        <a:solidFill>
          <a:schemeClr val="accent4">
            <a:lumMod val="20000"/>
            <a:lumOff val="80000"/>
          </a:schemeClr>
        </a:solidFill>
        <a:ln>
          <a:noFill/>
        </a:ln>
        <a:effectLst>
          <a:outerShdw blurRad="50800" dist="38100" dir="18900000" algn="bl" rotWithShape="0">
            <a:prstClr val="black">
              <a:alpha val="40000"/>
            </a:prstClr>
          </a:outerShdw>
        </a:effectLst>
      </c:spPr>
      <c:txPr>
        <a:bodyPr rot="0" spcFirstLastPara="1" vertOverflow="ellipsis" vert="horz" wrap="square" anchor="ctr" anchorCtr="1"/>
        <a:lstStyle/>
        <a:p>
          <a:pPr>
            <a:defRPr sz="85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gradFill>
      <a:gsLst>
        <a:gs pos="0">
          <a:schemeClr val="accent4">
            <a:lumMod val="5000"/>
            <a:lumOff val="95000"/>
          </a:schemeClr>
        </a:gs>
        <a:gs pos="74000">
          <a:schemeClr val="accent4">
            <a:lumMod val="45000"/>
            <a:lumOff val="55000"/>
          </a:schemeClr>
        </a:gs>
        <a:gs pos="83000">
          <a:schemeClr val="accent4">
            <a:lumMod val="45000"/>
            <a:lumOff val="55000"/>
          </a:schemeClr>
        </a:gs>
        <a:gs pos="100000">
          <a:schemeClr val="accent4">
            <a:lumMod val="30000"/>
            <a:lumOff val="70000"/>
          </a:schemeClr>
        </a:gs>
      </a:gsLst>
      <a:lin ang="5400000" scaled="1"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/>
              <a:t>A normatív kedvezményben részesülő és nem részesülő óvodai adagok egymáshoz viszonyított aránya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plotArea>
      <c:layout>
        <c:manualLayout>
          <c:layoutTarget val="inner"/>
          <c:xMode val="edge"/>
          <c:yMode val="edge"/>
          <c:x val="9.395466635118023E-2"/>
          <c:y val="0.13268722466960353"/>
          <c:w val="0.88156008044904233"/>
          <c:h val="0.70153155965636449"/>
        </c:manualLayout>
      </c:layout>
      <c:lineChart>
        <c:grouping val="standard"/>
        <c:varyColors val="0"/>
        <c:ser>
          <c:idx val="0"/>
          <c:order val="0"/>
          <c:tx>
            <c:strRef>
              <c:f>'óvodai étk'!$B$2:$B$3</c:f>
              <c:strCache>
                <c:ptCount val="2"/>
                <c:pt idx="1">
                  <c:v>nem részesül normatív kedvezményben </c:v>
                </c:pt>
              </c:strCache>
            </c:strRef>
          </c:tx>
          <c:spPr>
            <a:ln w="28575" cap="rnd">
              <a:solidFill>
                <a:srgbClr val="FF0000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'óvodai étk'!$A$4:$A$12</c:f>
              <c:numCache>
                <c:formatCode>General</c:formatCode>
                <c:ptCount val="9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  <c:pt idx="5">
                  <c:v>2022</c:v>
                </c:pt>
                <c:pt idx="6">
                  <c:v>2023</c:v>
                </c:pt>
                <c:pt idx="7">
                  <c:v>2024</c:v>
                </c:pt>
                <c:pt idx="8">
                  <c:v>2025</c:v>
                </c:pt>
              </c:numCache>
            </c:numRef>
          </c:cat>
          <c:val>
            <c:numRef>
              <c:f>'óvodai étk'!$B$4:$B$12</c:f>
              <c:numCache>
                <c:formatCode>General</c:formatCode>
                <c:ptCount val="9"/>
                <c:pt idx="0">
                  <c:v>10296</c:v>
                </c:pt>
                <c:pt idx="1">
                  <c:v>9692</c:v>
                </c:pt>
                <c:pt idx="2">
                  <c:v>11275</c:v>
                </c:pt>
                <c:pt idx="3">
                  <c:v>10397</c:v>
                </c:pt>
                <c:pt idx="4">
                  <c:v>12870</c:v>
                </c:pt>
                <c:pt idx="5">
                  <c:v>17870</c:v>
                </c:pt>
                <c:pt idx="6">
                  <c:v>14049</c:v>
                </c:pt>
                <c:pt idx="7">
                  <c:v>11202</c:v>
                </c:pt>
                <c:pt idx="8">
                  <c:v>10361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82B5-4C9A-9AF3-E4DC9022AD14}"/>
            </c:ext>
          </c:extLst>
        </c:ser>
        <c:ser>
          <c:idx val="1"/>
          <c:order val="1"/>
          <c:tx>
            <c:strRef>
              <c:f>'óvodai étk'!$C$2:$C$3</c:f>
              <c:strCache>
                <c:ptCount val="2"/>
                <c:pt idx="1">
                  <c:v>100% normatív kedvezményben részesül</c:v>
                </c:pt>
              </c:strCache>
            </c:strRef>
          </c:tx>
          <c:spPr>
            <a:ln w="28575" cap="rnd">
              <a:solidFill>
                <a:srgbClr val="00B050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'óvodai étk'!$A$4:$A$12</c:f>
              <c:numCache>
                <c:formatCode>General</c:formatCode>
                <c:ptCount val="9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  <c:pt idx="5">
                  <c:v>2022</c:v>
                </c:pt>
                <c:pt idx="6">
                  <c:v>2023</c:v>
                </c:pt>
                <c:pt idx="7">
                  <c:v>2024</c:v>
                </c:pt>
                <c:pt idx="8">
                  <c:v>2025</c:v>
                </c:pt>
              </c:numCache>
            </c:numRef>
          </c:cat>
          <c:val>
            <c:numRef>
              <c:f>'óvodai étk'!$C$4:$C$12</c:f>
              <c:numCache>
                <c:formatCode>General</c:formatCode>
                <c:ptCount val="9"/>
                <c:pt idx="0">
                  <c:v>104306</c:v>
                </c:pt>
                <c:pt idx="1">
                  <c:v>98933</c:v>
                </c:pt>
                <c:pt idx="2">
                  <c:v>101381</c:v>
                </c:pt>
                <c:pt idx="3">
                  <c:v>72840</c:v>
                </c:pt>
                <c:pt idx="4">
                  <c:v>71077</c:v>
                </c:pt>
                <c:pt idx="5">
                  <c:v>91942</c:v>
                </c:pt>
                <c:pt idx="6">
                  <c:v>95179</c:v>
                </c:pt>
                <c:pt idx="7">
                  <c:v>93659</c:v>
                </c:pt>
                <c:pt idx="8">
                  <c:v>94829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82B5-4C9A-9AF3-E4DC9022AD14}"/>
            </c:ext>
          </c:extLst>
        </c:ser>
        <c:ser>
          <c:idx val="2"/>
          <c:order val="2"/>
          <c:tx>
            <c:strRef>
              <c:f>'óvodai étk'!$D$2:$D$3</c:f>
              <c:strCache>
                <c:ptCount val="2"/>
                <c:pt idx="1">
                  <c:v>összes óvodai adag</c:v>
                </c:pt>
              </c:strCache>
            </c:strRef>
          </c:tx>
          <c:spPr>
            <a:ln w="28575" cap="rnd">
              <a:solidFill>
                <a:srgbClr val="0070C0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'óvodai étk'!$A$4:$A$12</c:f>
              <c:numCache>
                <c:formatCode>General</c:formatCode>
                <c:ptCount val="9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  <c:pt idx="5">
                  <c:v>2022</c:v>
                </c:pt>
                <c:pt idx="6">
                  <c:v>2023</c:v>
                </c:pt>
                <c:pt idx="7">
                  <c:v>2024</c:v>
                </c:pt>
                <c:pt idx="8">
                  <c:v>2025</c:v>
                </c:pt>
              </c:numCache>
            </c:numRef>
          </c:cat>
          <c:val>
            <c:numRef>
              <c:f>'óvodai étk'!$D$4:$D$12</c:f>
              <c:numCache>
                <c:formatCode>General</c:formatCode>
                <c:ptCount val="9"/>
                <c:pt idx="0">
                  <c:v>114602</c:v>
                </c:pt>
                <c:pt idx="1">
                  <c:v>108625</c:v>
                </c:pt>
                <c:pt idx="2">
                  <c:v>112656</c:v>
                </c:pt>
                <c:pt idx="3">
                  <c:v>83237</c:v>
                </c:pt>
                <c:pt idx="4">
                  <c:v>83947</c:v>
                </c:pt>
                <c:pt idx="5">
                  <c:v>109812</c:v>
                </c:pt>
                <c:pt idx="6">
                  <c:v>109228</c:v>
                </c:pt>
                <c:pt idx="7">
                  <c:v>104861</c:v>
                </c:pt>
                <c:pt idx="8">
                  <c:v>105190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82B5-4C9A-9AF3-E4DC9022AD1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53540688"/>
        <c:axId val="453542648"/>
      </c:lineChart>
      <c:catAx>
        <c:axId val="4535406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3542648"/>
        <c:crosses val="autoZero"/>
        <c:auto val="1"/>
        <c:lblAlgn val="ctr"/>
        <c:lblOffset val="100"/>
        <c:noMultiLvlLbl val="0"/>
      </c:catAx>
      <c:valAx>
        <c:axId val="4535426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35406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 sz="1200" b="1"/>
              <a:t>Általános iskolai gyermekétkeztetés adagszámai</a:t>
            </a:r>
          </a:p>
          <a:p>
            <a:pPr>
              <a:defRPr sz="1200" b="1"/>
            </a:pPr>
            <a:r>
              <a:rPr lang="hu-HU" sz="1200" b="1"/>
              <a:t>2016-2025-ig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5">
                  <a:lumMod val="50000"/>
                </a:schemeClr>
              </a:solidFill>
              <a:round/>
            </a:ln>
            <a:effectLst/>
          </c:spPr>
          <c:marker>
            <c:symbol val="diamond"/>
            <c:size val="9"/>
            <c:spPr>
              <a:solidFill>
                <a:schemeClr val="accent2"/>
              </a:solidFill>
              <a:ln w="9525">
                <a:solidFill>
                  <a:schemeClr val="accent4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'Ált. iskola 2016-2025'!$A$4:$A$13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'Ált. iskola 2016-2025'!$V$4:$V$13</c:f>
              <c:numCache>
                <c:formatCode>General</c:formatCode>
                <c:ptCount val="10"/>
                <c:pt idx="0">
                  <c:v>122619</c:v>
                </c:pt>
                <c:pt idx="1">
                  <c:v>125314</c:v>
                </c:pt>
                <c:pt idx="2">
                  <c:v>121814</c:v>
                </c:pt>
                <c:pt idx="3">
                  <c:v>116000</c:v>
                </c:pt>
                <c:pt idx="4">
                  <c:v>86614</c:v>
                </c:pt>
                <c:pt idx="5">
                  <c:v>94248</c:v>
                </c:pt>
                <c:pt idx="6">
                  <c:v>123131</c:v>
                </c:pt>
                <c:pt idx="7">
                  <c:v>114976</c:v>
                </c:pt>
                <c:pt idx="8">
                  <c:v>116573</c:v>
                </c:pt>
                <c:pt idx="9">
                  <c:v>119378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276B-4747-A241-F2779F1E88FD}"/>
            </c:ext>
          </c:extLst>
        </c:ser>
        <c:dLbls>
          <c:dLblPos val="b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53544216"/>
        <c:axId val="453543040"/>
      </c:lineChart>
      <c:catAx>
        <c:axId val="4535442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3543040"/>
        <c:crosses val="autoZero"/>
        <c:auto val="1"/>
        <c:lblAlgn val="ctr"/>
        <c:lblOffset val="100"/>
        <c:noMultiLvlLbl val="0"/>
      </c:catAx>
      <c:valAx>
        <c:axId val="453543040"/>
        <c:scaling>
          <c:orientation val="minMax"/>
        </c:scaling>
        <c:delete val="0"/>
        <c:axPos val="l"/>
        <c:majorGridlines>
          <c:spPr>
            <a:ln w="6350" cap="flat" cmpd="sng" algn="ctr">
              <a:solidFill>
                <a:srgbClr val="0070C0"/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hu-HU"/>
                  <a:t>Adagszám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hu-H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354421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gradFill flip="none" rotWithShape="1">
      <a:gsLst>
        <a:gs pos="73000">
          <a:schemeClr val="accent1">
            <a:lumMod val="44000"/>
            <a:lumOff val="56000"/>
          </a:schemeClr>
        </a:gs>
        <a:gs pos="0">
          <a:schemeClr val="accent1">
            <a:lumMod val="20000"/>
            <a:lumOff val="80000"/>
          </a:schemeClr>
        </a:gs>
        <a:gs pos="100000">
          <a:schemeClr val="accent1">
            <a:lumMod val="20000"/>
            <a:lumOff val="80000"/>
          </a:schemeClr>
        </a:gs>
      </a:gsLst>
      <a:lin ang="8100000" scaled="1"/>
      <a:tileRect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  <c:userShapes r:id="rId4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 sz="1200" b="1"/>
              <a:t>Általános iskolai gyermekétkeztetés</a:t>
            </a:r>
            <a:r>
              <a:rPr lang="hu-HU" sz="1200" b="1" baseline="0"/>
              <a:t> adagszámai</a:t>
            </a:r>
          </a:p>
          <a:p>
            <a:pPr>
              <a:defRPr sz="1200" b="1"/>
            </a:pPr>
            <a:r>
              <a:rPr lang="hu-HU" sz="1200" b="1" baseline="0"/>
              <a:t>2016-2025-ig</a:t>
            </a:r>
            <a:endParaRPr lang="hu-HU" sz="1200" b="1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2976621165597543"/>
          <c:y val="0.22399996353944723"/>
          <c:w val="0.84191976002999624"/>
          <c:h val="0.53289148786075191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'Ált. iskola 2016-2025'!$S$3</c:f>
              <c:strCache>
                <c:ptCount val="1"/>
                <c:pt idx="0">
                  <c:v>háromszori étkeztetésben 
részesül</c:v>
                </c:pt>
              </c:strCache>
            </c:strRef>
          </c:tx>
          <c:spPr>
            <a:solidFill>
              <a:schemeClr val="accent1">
                <a:lumMod val="75000"/>
              </a:schemeClr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accent4">
                        <a:lumMod val="20000"/>
                        <a:lumOff val="8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'Ált. iskola 2016-2025'!$A$4:$A$13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'Ált. iskola 2016-2025'!$S$4:$S$13</c:f>
              <c:numCache>
                <c:formatCode>General</c:formatCode>
                <c:ptCount val="10"/>
                <c:pt idx="0">
                  <c:v>82813</c:v>
                </c:pt>
                <c:pt idx="1">
                  <c:v>85593</c:v>
                </c:pt>
                <c:pt idx="2">
                  <c:v>82351</c:v>
                </c:pt>
                <c:pt idx="3">
                  <c:v>74315</c:v>
                </c:pt>
                <c:pt idx="4">
                  <c:v>56801</c:v>
                </c:pt>
                <c:pt idx="5">
                  <c:v>60306</c:v>
                </c:pt>
                <c:pt idx="6">
                  <c:v>75426</c:v>
                </c:pt>
                <c:pt idx="7">
                  <c:v>69246</c:v>
                </c:pt>
                <c:pt idx="8">
                  <c:v>69157</c:v>
                </c:pt>
                <c:pt idx="9">
                  <c:v>68495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C72-4B6D-82E5-4A3AD3A1D777}"/>
            </c:ext>
          </c:extLst>
        </c:ser>
        <c:ser>
          <c:idx val="1"/>
          <c:order val="1"/>
          <c:tx>
            <c:strRef>
              <c:f>'Ált. iskola 2016-2025'!$T$3</c:f>
              <c:strCache>
                <c:ptCount val="1"/>
                <c:pt idx="0">
                  <c:v>tízórai + ebédben 
részesül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accent4">
                        <a:lumMod val="20000"/>
                        <a:lumOff val="8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'Ált. iskola 2016-2025'!$A$4:$A$13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'Ált. iskola 2016-2025'!$T$4:$T$13</c:f>
              <c:numCache>
                <c:formatCode>General</c:formatCode>
                <c:ptCount val="10"/>
                <c:pt idx="0">
                  <c:v>25652</c:v>
                </c:pt>
                <c:pt idx="1">
                  <c:v>21945</c:v>
                </c:pt>
                <c:pt idx="2">
                  <c:v>20683</c:v>
                </c:pt>
                <c:pt idx="3">
                  <c:v>20949</c:v>
                </c:pt>
                <c:pt idx="4">
                  <c:v>15370</c:v>
                </c:pt>
                <c:pt idx="5">
                  <c:v>19715</c:v>
                </c:pt>
                <c:pt idx="6">
                  <c:v>27174</c:v>
                </c:pt>
                <c:pt idx="7">
                  <c:v>24125</c:v>
                </c:pt>
                <c:pt idx="8">
                  <c:v>23399</c:v>
                </c:pt>
                <c:pt idx="9">
                  <c:v>24291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C72-4B6D-82E5-4A3AD3A1D777}"/>
            </c:ext>
          </c:extLst>
        </c:ser>
        <c:ser>
          <c:idx val="2"/>
          <c:order val="2"/>
          <c:tx>
            <c:strRef>
              <c:f>'Ált. iskola 2016-2025'!$U$3</c:f>
              <c:strCache>
                <c:ptCount val="1"/>
                <c:pt idx="0">
                  <c:v>csak ebédben
 részesül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'Ált. iskola 2016-2025'!$A$4:$A$13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'Ált. iskola 2016-2025'!$U$4:$U$13</c:f>
              <c:numCache>
                <c:formatCode>General</c:formatCode>
                <c:ptCount val="10"/>
                <c:pt idx="0">
                  <c:v>14154</c:v>
                </c:pt>
                <c:pt idx="1">
                  <c:v>17776</c:v>
                </c:pt>
                <c:pt idx="2">
                  <c:v>18780</c:v>
                </c:pt>
                <c:pt idx="3">
                  <c:v>20736</c:v>
                </c:pt>
                <c:pt idx="4">
                  <c:v>14443</c:v>
                </c:pt>
                <c:pt idx="5">
                  <c:v>14227</c:v>
                </c:pt>
                <c:pt idx="6">
                  <c:v>20531</c:v>
                </c:pt>
                <c:pt idx="7">
                  <c:v>21605</c:v>
                </c:pt>
                <c:pt idx="8">
                  <c:v>24017</c:v>
                </c:pt>
                <c:pt idx="9">
                  <c:v>26592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8C72-4B6D-82E5-4A3AD3A1D77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8"/>
        <c:shape val="box"/>
        <c:axId val="453539904"/>
        <c:axId val="453540296"/>
        <c:axId val="0"/>
      </c:bar3DChart>
      <c:catAx>
        <c:axId val="4535399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3540296"/>
        <c:crosses val="autoZero"/>
        <c:auto val="1"/>
        <c:lblAlgn val="ctr"/>
        <c:lblOffset val="100"/>
        <c:noMultiLvlLbl val="0"/>
      </c:catAx>
      <c:valAx>
        <c:axId val="4535402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rgbClr val="0070C0"/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hu-HU"/>
                  <a:t>Adagszám</a:t>
                </a:r>
              </a:p>
            </c:rich>
          </c:tx>
          <c:layout>
            <c:manualLayout>
              <c:xMode val="edge"/>
              <c:yMode val="edge"/>
              <c:x val="3.2239686255434288E-2"/>
              <c:y val="0.4299083310084305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hu-H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4535399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gradFill flip="none" rotWithShape="1">
      <a:gsLst>
        <a:gs pos="0">
          <a:schemeClr val="accent1">
            <a:lumMod val="12000"/>
            <a:lumOff val="88000"/>
          </a:schemeClr>
        </a:gs>
        <a:gs pos="74000">
          <a:schemeClr val="accent1">
            <a:lumMod val="45000"/>
            <a:lumOff val="55000"/>
          </a:schemeClr>
        </a:gs>
        <a:gs pos="83000">
          <a:schemeClr val="accent1">
            <a:lumMod val="45000"/>
            <a:lumOff val="55000"/>
          </a:schemeClr>
        </a:gs>
        <a:gs pos="100000">
          <a:schemeClr val="accent1">
            <a:lumMod val="30000"/>
            <a:lumOff val="70000"/>
          </a:schemeClr>
        </a:gs>
      </a:gsLst>
      <a:lin ang="5400000" scaled="1"/>
      <a:tileRect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withinLinearReversed" id="22">
  <a:schemeClr val="accent2"/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withinLinearReversed" id="22">
  <a:schemeClr val="accent2"/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63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587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>
      <cs:styleClr val="auto"/>
    </cs:lnRef>
    <cs:fillRef idx="0"/>
    <cs:effectRef idx="0">
      <cs:styleClr val="auto"/>
    </cs:effectRef>
    <cs:fontRef idx="minor">
      <cs:styleClr val="auto"/>
    </cs:fontRef>
    <cs:spPr>
      <a:solidFill>
        <a:schemeClr val="lt1">
          <a:alpha val="90000"/>
        </a:schemeClr>
      </a:solidFill>
      <a:ln w="12700" cap="flat" cmpd="sng" algn="ctr">
        <a:solidFill>
          <a:schemeClr val="phClr"/>
        </a:solidFill>
        <a:round/>
      </a:ln>
      <a:effectLst>
        <a:outerShdw blurRad="50800" dist="38100" dir="2700000" algn="tl" rotWithShape="0">
          <a:schemeClr val="phClr">
            <a:lumMod val="75000"/>
            <a:alpha val="40000"/>
          </a:schemeClr>
        </a:outerShdw>
      </a:effectLst>
    </cs:spPr>
    <cs:defRPr sz="1000" b="0" i="0" u="none" strike="noStrike" kern="1200" baseline="0">
      <a:effectLst/>
    </cs:defRPr>
    <cs:bodyPr rot="0" spcFirstLastPara="1" vertOverflow="clip" horzOverflow="clip" vert="horz" wrap="square" lIns="38100" tIns="19050" rIns="38100" bIns="19050" anchor="ctr" anchorCtr="1">
      <a:spAutoFit/>
    </cs:bodyPr>
  </cs:dataLabel>
  <cs:dataLabelCallout>
    <cs:lnRef idx="0">
      <cs:styleClr val="auto"/>
    </cs:lnRef>
    <cs:fillRef idx="0"/>
    <cs:effectRef idx="0">
      <cs:styleClr val="auto"/>
    </cs:effectRef>
    <cs:fontRef idx="minor">
      <cs:styleClr val="auto"/>
    </cs:fontRef>
    <cs:spPr>
      <a:solidFill>
        <a:schemeClr val="lt1">
          <a:alpha val="90000"/>
        </a:schemeClr>
      </a:solidFill>
      <a:ln w="12700" cap="flat" cmpd="sng" algn="ctr">
        <a:solidFill>
          <a:schemeClr val="phClr"/>
        </a:solidFill>
        <a:round/>
      </a:ln>
      <a:effectLst>
        <a:outerShdw blurRad="50800" dist="38100" dir="2700000" algn="tl" rotWithShape="0">
          <a:schemeClr val="phClr">
            <a:lumMod val="75000"/>
            <a:alpha val="40000"/>
          </a:schemeClr>
        </a:outerShdw>
      </a:effectLst>
    </cs:spPr>
    <cs:defRPr sz="1000" b="0" i="0" u="none" strike="noStrike" kern="1200" baseline="0">
      <a:effectLst/>
    </cs:defRPr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>
          <a:alpha val="70000"/>
        </a:schemeClr>
      </a:solidFill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tx1"/>
    </cs:fontRef>
    <cs:spPr>
      <a:solidFill>
        <a:schemeClr val="phClr">
          <a:alpha val="90000"/>
        </a:schemeClr>
      </a:solidFill>
      <a:ln w="19050">
        <a:solidFill>
          <a:schemeClr val="phClr">
            <a:lumMod val="75000"/>
          </a:schemeClr>
        </a:solidFill>
      </a:ln>
      <a:effectLst>
        <a:innerShdw blurRad="114300">
          <a:schemeClr val="phClr">
            <a:lumMod val="75000"/>
          </a:schemeClr>
        </a:innerShdw>
      </a:effectLst>
      <a:scene3d>
        <a:camera prst="orthographicFront"/>
        <a:lightRig rig="threePt" dir="t"/>
      </a:scene3d>
      <a:sp3d contourW="19050" prstMaterial="flat">
        <a:contourClr>
          <a:schemeClr val="accent4">
            <a:lumMod val="75000"/>
          </a:schemeClr>
        </a:contourClr>
      </a:sp3d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587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7.png"/></Relationships>
</file>

<file path=word/drawing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7.png"/></Relationships>
</file>

<file path=word/drawings/_rels/drawing3.xml.rels><?xml version="1.0" encoding="UTF-8" standalone="yes"?>
<Relationships xmlns="http://schemas.openxmlformats.org/package/2006/relationships"><Relationship Id="rId1" Type="http://schemas.openxmlformats.org/officeDocument/2006/relationships/image" Target="../media/image9.png"/></Relationships>
</file>

<file path=word/drawings/_rels/drawing4.xml.rels><?xml version="1.0" encoding="UTF-8" standalone="yes"?>
<Relationships xmlns="http://schemas.openxmlformats.org/package/2006/relationships"><Relationship Id="rId1" Type="http://schemas.openxmlformats.org/officeDocument/2006/relationships/image" Target="../media/image9.png"/></Relationships>
</file>

<file path=word/drawings/_rels/drawing5.xml.rels><?xml version="1.0" encoding="UTF-8" standalone="yes"?>
<Relationships xmlns="http://schemas.openxmlformats.org/package/2006/relationships"><Relationship Id="rId1" Type="http://schemas.openxmlformats.org/officeDocument/2006/relationships/image" Target="../media/image9.png"/></Relationships>
</file>

<file path=word/drawings/_rels/drawing6.xml.rels><?xml version="1.0" encoding="UTF-8" standalone="yes"?>
<Relationships xmlns="http://schemas.openxmlformats.org/package/2006/relationships"><Relationship Id="rId1" Type="http://schemas.openxmlformats.org/officeDocument/2006/relationships/image" Target="../media/image10.jp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0.87586</cdr:x>
      <cdr:y>0.02632</cdr:y>
    </cdr:from>
    <cdr:to>
      <cdr:x>1</cdr:x>
      <cdr:y>0.18421</cdr:y>
    </cdr:to>
    <cdr:pic>
      <cdr:nvPicPr>
        <cdr:cNvPr id="2" name="Kép 1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>
          <a:extLst>
            <a:ext uri="{28A0092B-C50C-407E-A947-70E740481C1C}">
              <a14:useLocalDpi xmlns:a14="http://schemas.microsoft.com/office/drawing/2010/main" val="0"/>
            </a:ext>
          </a:extLst>
        </a:blip>
        <a:srcRect xmlns:a="http://schemas.openxmlformats.org/drawingml/2006/main"/>
        <a:stretch xmlns:a="http://schemas.openxmlformats.org/drawingml/2006/main">
          <a:fillRect/>
        </a:stretch>
      </cdr:blipFill>
      <cdr:spPr bwMode="auto">
        <a:xfrm xmlns:a="http://schemas.openxmlformats.org/drawingml/2006/main">
          <a:off x="5152390" y="68580"/>
          <a:ext cx="730250" cy="411480"/>
        </a:xfrm>
        <a:prstGeom xmlns:a="http://schemas.openxmlformats.org/drawingml/2006/main" prst="rect">
          <a:avLst/>
        </a:prstGeom>
        <a:noFill xmlns:a="http://schemas.openxmlformats.org/drawingml/2006/main"/>
      </cdr:spPr>
    </cdr:pic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0.00275</cdr:x>
      <cdr:y>0.00394</cdr:y>
    </cdr:from>
    <cdr:to>
      <cdr:x>0.14852</cdr:x>
      <cdr:y>0.09252</cdr:y>
    </cdr:to>
    <cdr:pic>
      <cdr:nvPicPr>
        <cdr:cNvPr id="2" name="Kép 1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>
          <a:extLst>
            <a:ext uri="{28A0092B-C50C-407E-A947-70E740481C1C}">
              <a14:useLocalDpi xmlns:a14="http://schemas.microsoft.com/office/drawing/2010/main" val="0"/>
            </a:ext>
          </a:extLst>
        </a:blip>
        <a:srcRect xmlns:a="http://schemas.openxmlformats.org/drawingml/2006/main"/>
        <a:stretch xmlns:a="http://schemas.openxmlformats.org/drawingml/2006/main">
          <a:fillRect/>
        </a:stretch>
      </cdr:blipFill>
      <cdr:spPr bwMode="auto">
        <a:xfrm xmlns:a="http://schemas.openxmlformats.org/drawingml/2006/main">
          <a:off x="13970" y="15240"/>
          <a:ext cx="739775" cy="342900"/>
        </a:xfrm>
        <a:prstGeom xmlns:a="http://schemas.openxmlformats.org/drawingml/2006/main" prst="rect">
          <a:avLst/>
        </a:prstGeom>
        <a:noFill xmlns:a="http://schemas.openxmlformats.org/drawingml/2006/main"/>
      </cdr:spPr>
    </cdr:pic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0.84334</cdr:x>
      <cdr:y>0.04291</cdr:y>
    </cdr:from>
    <cdr:to>
      <cdr:x>0.97511</cdr:x>
      <cdr:y>0.16766</cdr:y>
    </cdr:to>
    <cdr:pic>
      <cdr:nvPicPr>
        <cdr:cNvPr id="2" name="Kép 1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>
          <a:extLst>
            <a:ext uri="{28A0092B-C50C-407E-A947-70E740481C1C}">
              <a14:useLocalDpi xmlns:a14="http://schemas.microsoft.com/office/drawing/2010/main" val="0"/>
            </a:ext>
          </a:extLst>
        </a:blip>
        <a:srcRect xmlns:a="http://schemas.openxmlformats.org/drawingml/2006/main"/>
        <a:stretch xmlns:a="http://schemas.openxmlformats.org/drawingml/2006/main">
          <a:fillRect/>
        </a:stretch>
      </cdr:blipFill>
      <cdr:spPr bwMode="auto">
        <a:xfrm xmlns:a="http://schemas.openxmlformats.org/drawingml/2006/main">
          <a:off x="4389120" y="109220"/>
          <a:ext cx="685800" cy="317500"/>
        </a:xfrm>
        <a:prstGeom xmlns:a="http://schemas.openxmlformats.org/drawingml/2006/main" prst="rect">
          <a:avLst/>
        </a:prstGeom>
        <a:noFill xmlns:a="http://schemas.openxmlformats.org/drawingml/2006/main"/>
      </cdr:spPr>
    </cdr:pic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0.01478</cdr:x>
      <cdr:y>0.02728</cdr:y>
    </cdr:from>
    <cdr:to>
      <cdr:x>0.15909</cdr:x>
      <cdr:y>0.16295</cdr:y>
    </cdr:to>
    <cdr:pic>
      <cdr:nvPicPr>
        <cdr:cNvPr id="2" name="Kép 1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>
          <a:extLst>
            <a:ext uri="{28A0092B-C50C-407E-A947-70E740481C1C}">
              <a14:useLocalDpi xmlns:a14="http://schemas.microsoft.com/office/drawing/2010/main" val="0"/>
            </a:ext>
          </a:extLst>
        </a:blip>
        <a:srcRect xmlns:a="http://schemas.openxmlformats.org/drawingml/2006/main"/>
        <a:stretch xmlns:a="http://schemas.openxmlformats.org/drawingml/2006/main">
          <a:fillRect/>
        </a:stretch>
      </cdr:blipFill>
      <cdr:spPr bwMode="auto">
        <a:xfrm xmlns:a="http://schemas.openxmlformats.org/drawingml/2006/main">
          <a:off x="76835" y="69850"/>
          <a:ext cx="749935" cy="347345"/>
        </a:xfrm>
        <a:prstGeom xmlns:a="http://schemas.openxmlformats.org/drawingml/2006/main" prst="rect">
          <a:avLst/>
        </a:prstGeom>
        <a:noFill xmlns:a="http://schemas.openxmlformats.org/drawingml/2006/main"/>
      </cdr:spPr>
    </cdr:pic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0.01644</cdr:x>
      <cdr:y>0.02534</cdr:y>
    </cdr:from>
    <cdr:to>
      <cdr:x>0.15801</cdr:x>
      <cdr:y>0.14635</cdr:y>
    </cdr:to>
    <cdr:pic>
      <cdr:nvPicPr>
        <cdr:cNvPr id="2" name="Kép 1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>
          <a:extLst>
            <a:ext uri="{28A0092B-C50C-407E-A947-70E740481C1C}">
              <a14:useLocalDpi xmlns:a14="http://schemas.microsoft.com/office/drawing/2010/main" val="0"/>
            </a:ext>
          </a:extLst>
        </a:blip>
        <a:srcRect xmlns:a="http://schemas.openxmlformats.org/drawingml/2006/main"/>
        <a:stretch xmlns:a="http://schemas.openxmlformats.org/drawingml/2006/main">
          <a:fillRect/>
        </a:stretch>
      </cdr:blipFill>
      <cdr:spPr bwMode="auto">
        <a:xfrm xmlns:a="http://schemas.openxmlformats.org/drawingml/2006/main">
          <a:off x="84455" y="70485"/>
          <a:ext cx="727075" cy="336550"/>
        </a:xfrm>
        <a:prstGeom xmlns:a="http://schemas.openxmlformats.org/drawingml/2006/main" prst="rect">
          <a:avLst/>
        </a:prstGeom>
        <a:noFill xmlns:a="http://schemas.openxmlformats.org/drawingml/2006/main"/>
      </cdr:spPr>
    </cdr:pic>
  </cdr:relSizeAnchor>
</c:userShapes>
</file>

<file path=word/drawings/drawing6.xml><?xml version="1.0" encoding="utf-8"?>
<c:userShapes xmlns:c="http://schemas.openxmlformats.org/drawingml/2006/chart">
  <cdr:relSizeAnchor xmlns:cdr="http://schemas.openxmlformats.org/drawingml/2006/chartDrawing">
    <cdr:from>
      <cdr:x>0.0117</cdr:x>
      <cdr:y>0.85108</cdr:y>
    </cdr:from>
    <cdr:to>
      <cdr:x>0.18284</cdr:x>
      <cdr:y>0.97208</cdr:y>
    </cdr:to>
    <cdr:pic>
      <cdr:nvPicPr>
        <cdr:cNvPr id="2" name="Kép 1">
          <a:extLst xmlns:a="http://schemas.openxmlformats.org/drawingml/2006/main">
            <a:ext uri="{FF2B5EF4-FFF2-40B4-BE49-F238E27FC236}">
              <a16:creationId xmlns:a16="http://schemas.microsoft.com/office/drawing/2014/main" xmlns="" id="{67DC2E20-A731-4436-B80E-125F8248C388}"/>
            </a:ext>
          </a:extLst>
        </cdr:cNvPr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>
          <a:extLst>
            <a:ext uri="{28A0092B-C50C-407E-A947-70E740481C1C}">
              <a14:useLocalDpi xmlns:a14="http://schemas.microsoft.com/office/drawing/2010/main" val="0"/>
            </a:ext>
          </a:extLst>
        </a:blip>
        <a:stretch xmlns:a="http://schemas.openxmlformats.org/drawingml/2006/main">
          <a:fillRect/>
        </a:stretch>
      </cdr:blipFill>
      <cdr:spPr>
        <a:xfrm xmlns:a="http://schemas.openxmlformats.org/drawingml/2006/main">
          <a:off x="58420" y="2801620"/>
          <a:ext cx="854165" cy="398319"/>
        </a:xfrm>
        <a:prstGeom xmlns:a="http://schemas.openxmlformats.org/drawingml/2006/main" prst="rect">
          <a:avLst/>
        </a:prstGeom>
      </cdr:spPr>
    </cdr:pic>
  </cdr:relSizeAnchor>
</c:userShape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4972</Words>
  <Characters>34309</Characters>
  <Application>Microsoft Office Word</Application>
  <DocSecurity>0</DocSecurity>
  <Lines>285</Lines>
  <Paragraphs>78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milkovics.marianna</dc:creator>
  <cp:keywords/>
  <dc:description/>
  <cp:lastModifiedBy>milkovics.marianna</cp:lastModifiedBy>
  <cp:revision>1</cp:revision>
  <dcterms:created xsi:type="dcterms:W3CDTF">2026-05-28T09:00:00Z</dcterms:created>
  <dcterms:modified xsi:type="dcterms:W3CDTF">2026-05-28T09:01:00Z</dcterms:modified>
</cp:coreProperties>
</file>